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rPr>
          <w:rFonts w:ascii="Times New Roman" w:hAnsi="Times New Roman"/>
          <w:sz w:val="28"/>
        </w:rPr>
      </w:pPr>
      <w:r>
        <w:rPr>
          <w:rFonts w:ascii="Times New Roman" w:hAnsi="Times New Roman"/>
          <w:sz w:val="28"/>
        </w:rPr>
        <w:drawing>
          <wp:anchor behindDoc="0" distT="0" distB="0" distL="114300" distR="114300" simplePos="0" locked="0" layoutInCell="0" allowOverlap="1" relativeHeight="2">
            <wp:simplePos x="0" y="0"/>
            <wp:positionH relativeFrom="margin">
              <wp:align>center</wp:align>
            </wp:positionH>
            <wp:positionV relativeFrom="paragraph">
              <wp:posOffset>635</wp:posOffset>
            </wp:positionV>
            <wp:extent cx="647700" cy="807720"/>
            <wp:effectExtent l="0" t="0" r="0" b="0"/>
            <wp:wrapTight wrapText="bothSides">
              <wp:wrapPolygon edited="0">
                <wp:start x="-51" y="0"/>
                <wp:lineTo x="-51" y="20845"/>
                <wp:lineTo x="20918" y="20845"/>
                <wp:lineTo x="20918" y="0"/>
                <wp:lineTo x="-51" y="0"/>
              </wp:wrapPolygon>
            </wp:wrapTight>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647700" cy="807720"/>
                    </a:xfrm>
                    <a:prstGeom prst="rect">
                      <a:avLst/>
                    </a:prstGeom>
                  </pic:spPr>
                </pic:pic>
              </a:graphicData>
            </a:graphic>
          </wp:anchor>
        </w:drawing>
      </w:r>
    </w:p>
    <w:p>
      <w:pPr>
        <w:pStyle w:val="Normal"/>
        <w:spacing w:lineRule="auto" w:line="360" w:before="0" w:after="0"/>
        <w:jc w:val="center"/>
        <w:rPr>
          <w:rFonts w:ascii="Times New Roman" w:hAnsi="Times New Roman"/>
          <w:sz w:val="32"/>
        </w:rPr>
      </w:pPr>
      <w:r>
        <w:rPr>
          <w:rFonts w:ascii="Times New Roman" w:hAnsi="Times New Roman"/>
          <w:sz w:val="32"/>
        </w:rPr>
      </w:r>
    </w:p>
    <w:p>
      <w:pPr>
        <w:pStyle w:val="Normal"/>
        <w:spacing w:lineRule="auto" w:line="240" w:before="0" w:after="0"/>
        <w:jc w:val="center"/>
        <w:rPr>
          <w:rFonts w:ascii="Times New Roman" w:hAnsi="Times New Roman"/>
          <w:b/>
          <w:sz w:val="32"/>
        </w:rPr>
      </w:pPr>
      <w:r>
        <w:rPr>
          <w:rFonts w:ascii="Times New Roman" w:hAnsi="Times New Roman"/>
          <w:b/>
          <w:sz w:val="32"/>
        </w:rPr>
      </w:r>
    </w:p>
    <w:p>
      <w:pPr>
        <w:pStyle w:val="Normal"/>
        <w:spacing w:lineRule="auto" w:line="240" w:before="0" w:after="0"/>
        <w:rPr>
          <w:rFonts w:ascii="Times New Roman" w:hAnsi="Times New Roman"/>
          <w:b/>
          <w:sz w:val="32"/>
        </w:rPr>
      </w:pPr>
      <w:r>
        <w:rPr>
          <w:rFonts w:ascii="Times New Roman" w:hAnsi="Times New Roman"/>
          <w:b/>
          <w:sz w:val="32"/>
        </w:rPr>
      </w:r>
    </w:p>
    <w:p>
      <w:pPr>
        <w:pStyle w:val="Normal"/>
        <w:spacing w:lineRule="auto" w:line="216" w:before="0" w:after="0"/>
        <w:jc w:val="center"/>
        <w:rPr>
          <w:rFonts w:ascii="Times New Roman" w:hAnsi="Times New Roman"/>
          <w:b/>
          <w:sz w:val="32"/>
        </w:rPr>
      </w:pPr>
      <w:r>
        <w:rPr>
          <w:rFonts w:ascii="Times New Roman" w:hAnsi="Times New Roman"/>
          <w:b/>
          <w:sz w:val="32"/>
        </w:rPr>
        <w:t>П О С Т А Н О В Л Е Н И Е</w:t>
      </w:r>
    </w:p>
    <w:p>
      <w:pPr>
        <w:pStyle w:val="Normal"/>
        <w:spacing w:lineRule="auto" w:line="216" w:before="0" w:after="0"/>
        <w:jc w:val="center"/>
        <w:rPr>
          <w:rFonts w:ascii="Times New Roman" w:hAnsi="Times New Roman"/>
          <w:b/>
          <w:sz w:val="28"/>
        </w:rPr>
      </w:pPr>
      <w:r>
        <w:rPr>
          <w:rFonts w:ascii="Times New Roman" w:hAnsi="Times New Roman"/>
          <w:b/>
          <w:sz w:val="28"/>
        </w:rPr>
      </w:r>
    </w:p>
    <w:p>
      <w:pPr>
        <w:pStyle w:val="Normal"/>
        <w:spacing w:lineRule="auto" w:line="216" w:before="0" w:after="0"/>
        <w:jc w:val="center"/>
        <w:rPr>
          <w:rFonts w:ascii="Times New Roman" w:hAnsi="Times New Roman"/>
          <w:b/>
          <w:sz w:val="28"/>
        </w:rPr>
      </w:pPr>
      <w:r>
        <w:rPr>
          <w:rFonts w:ascii="Times New Roman" w:hAnsi="Times New Roman"/>
          <w:b/>
          <w:sz w:val="28"/>
        </w:rPr>
        <w:t>ПРАВИТЕЛЬСТВА</w:t>
      </w:r>
    </w:p>
    <w:p>
      <w:pPr>
        <w:pStyle w:val="Normal"/>
        <w:spacing w:lineRule="auto" w:line="216" w:before="0" w:after="0"/>
        <w:jc w:val="center"/>
        <w:rPr>
          <w:rFonts w:ascii="Times New Roman" w:hAnsi="Times New Roman"/>
          <w:b/>
          <w:sz w:val="28"/>
        </w:rPr>
      </w:pPr>
      <w:r>
        <w:rPr>
          <w:rFonts w:ascii="Times New Roman" w:hAnsi="Times New Roman"/>
          <w:b/>
          <w:sz w:val="28"/>
        </w:rPr>
        <w:t>КАМЧАТСКОГО КРАЯ</w:t>
      </w:r>
    </w:p>
    <w:p>
      <w:pPr>
        <w:pStyle w:val="Normal"/>
        <w:spacing w:lineRule="auto" w:line="240" w:before="0" w:after="0"/>
        <w:ind w:firstLine="709"/>
        <w:jc w:val="center"/>
        <w:rPr>
          <w:rFonts w:ascii="Times New Roman" w:hAnsi="Times New Roman"/>
          <w:sz w:val="28"/>
          <w:szCs w:val="28"/>
        </w:rPr>
      </w:pPr>
      <w:r>
        <w:rPr>
          <w:rFonts w:ascii="Times New Roman" w:hAnsi="Times New Roman"/>
          <w:sz w:val="28"/>
          <w:szCs w:val="28"/>
        </w:rPr>
      </w:r>
    </w:p>
    <w:tbl>
      <w:tblPr>
        <w:tblW w:w="4253"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4253"/>
      </w:tblGrid>
      <w:tr>
        <w:trPr>
          <w:trHeight w:val="234" w:hRule="atLeast"/>
        </w:trPr>
        <w:tc>
          <w:tcPr>
            <w:tcW w:w="4253" w:type="dxa"/>
            <w:tcBorders/>
          </w:tcPr>
          <w:p>
            <w:pPr>
              <w:pStyle w:val="Normal"/>
              <w:spacing w:lineRule="auto" w:line="240" w:before="0" w:after="0"/>
              <w:ind w:hanging="142" w:left="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trPr>
          <w:trHeight w:val="247" w:hRule="atLeast"/>
        </w:trPr>
        <w:tc>
          <w:tcPr>
            <w:tcW w:w="4253" w:type="dxa"/>
            <w:tcBorders/>
          </w:tcPr>
          <w:p>
            <w:pPr>
              <w:pStyle w:val="Normal"/>
              <w:spacing w:lineRule="auto" w:line="240" w:before="0" w:after="0"/>
              <w:jc w:val="center"/>
              <w:rPr>
                <w:rFonts w:ascii="Times New Roman" w:hAnsi="Times New Roman"/>
                <w:u w:val="single"/>
              </w:rPr>
            </w:pPr>
            <w:r>
              <w:rPr>
                <w:rFonts w:ascii="Times New Roman" w:hAnsi="Times New Roman"/>
              </w:rPr>
              <w:t>г. Петропавловск-Камчатский</w:t>
            </w:r>
          </w:p>
        </w:tc>
      </w:tr>
      <w:tr>
        <w:trPr>
          <w:trHeight w:val="80" w:hRule="atLeast"/>
        </w:trPr>
        <w:tc>
          <w:tcPr>
            <w:tcW w:w="4253" w:type="dxa"/>
            <w:tcBorders/>
          </w:tcPr>
          <w:p>
            <w:pPr>
              <w:pStyle w:val="Normal"/>
              <w:spacing w:lineRule="auto" w:line="240" w:before="0" w:after="0"/>
              <w:jc w:val="both"/>
              <w:rPr>
                <w:rFonts w:ascii="Times New Roman" w:hAnsi="Times New Roman"/>
                <w:sz w:val="20"/>
              </w:rPr>
            </w:pPr>
            <w:r>
              <w:rPr>
                <w:rFonts w:ascii="Times New Roman" w:hAnsi="Times New Roman"/>
                <w:sz w:val="20"/>
              </w:rPr>
            </w:r>
          </w:p>
        </w:tc>
      </w:tr>
    </w:tbl>
    <w:p>
      <w:pPr>
        <w:pStyle w:val="Normal"/>
        <w:spacing w:lineRule="auto" w:line="240" w:before="0" w:after="0"/>
        <w:ind w:hanging="0"/>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hanging="0"/>
        <w:jc w:val="both"/>
        <w:rPr>
          <w:rFonts w:ascii="Times New Roman" w:hAnsi="Times New Roman"/>
          <w:sz w:val="28"/>
          <w:szCs w:val="28"/>
        </w:rPr>
      </w:pPr>
      <w:r>
        <w:rPr>
          <w:rFonts w:ascii="Times New Roman" w:hAnsi="Times New Roman"/>
          <w:sz w:val="28"/>
          <w:szCs w:val="28"/>
        </w:rPr>
      </w:r>
    </w:p>
    <w:p>
      <w:pPr>
        <w:pStyle w:val="Normal"/>
        <w:pBdr/>
        <w:spacing w:lineRule="auto" w:line="288" w:before="0" w:after="0"/>
        <w:ind w:hanging="0" w:left="0" w:right="0"/>
        <w:jc w:val="center"/>
        <w:rPr>
          <w:rFonts w:ascii="Times New Roman" w:hAnsi="Times New Roman"/>
          <w:b/>
          <w:bCs/>
          <w:sz w:val="28"/>
          <w:szCs w:val="28"/>
          <w14:ligatures w14:val="none"/>
        </w:rPr>
      </w:pPr>
      <w:r>
        <w:rPr>
          <w:rFonts w:ascii="Times New Roman" w:hAnsi="Times New Roman"/>
          <w:b/>
          <w:bCs/>
          <w:sz w:val="28"/>
          <w:szCs w:val="28"/>
        </w:rPr>
        <w:t>Об утверждении Положения о региональном государственном контроле (надзоре) за реализацией инвестиционных программ организаций, осуществляющих регулируемые виды деятельности в сфере теплоснабжения на территории Камчатского края</w:t>
      </w:r>
    </w:p>
    <w:p>
      <w:pPr>
        <w:pStyle w:val="Normal"/>
        <w:spacing w:lineRule="auto" w:line="288" w:before="0" w:after="0"/>
        <w:jc w:val="left"/>
        <w:rPr>
          <w:rFonts w:ascii="Times New Roman" w:hAnsi="Times New Roman"/>
        </w:rPr>
      </w:pPr>
      <w:r>
        <w:rPr>
          <w:rFonts w:ascii="Times New Roman" w:hAnsi="Times New Roman"/>
        </w:rPr>
      </w:r>
    </w:p>
    <w:p>
      <w:pPr>
        <w:pStyle w:val="Normal"/>
        <w:spacing w:lineRule="auto" w:line="288" w:before="0" w:after="0"/>
        <w:jc w:val="left"/>
        <w:rPr>
          <w:rFonts w:ascii="Times New Roman" w:hAnsi="Times New Roman"/>
        </w:rPr>
      </w:pPr>
      <w:r>
        <w:rPr>
          <w:rFonts w:ascii="Times New Roman" w:hAnsi="Times New Roman"/>
        </w:rPr>
      </w:r>
    </w:p>
    <w:p>
      <w:pPr>
        <w:pStyle w:val="Normal"/>
        <w:pBdr/>
        <w:spacing w:lineRule="auto" w:line="288" w:before="0" w:after="0"/>
        <w:ind w:hanging="0" w:left="0" w:right="0"/>
        <w:jc w:val="both"/>
        <w:rPr>
          <w:rFonts w:ascii="Times New Roman" w:hAnsi="Times New Roman"/>
          <w:sz w:val="28"/>
          <w:szCs w:val="28"/>
          <w14:ligatures w14:val="none"/>
        </w:rPr>
      </w:pPr>
      <w:r>
        <w:rPr>
          <w:rFonts w:ascii="Times New Roman" w:hAnsi="Times New Roman"/>
          <w:sz w:val="28"/>
          <w:szCs w:val="28"/>
        </w:rPr>
        <w:tab/>
        <w:t xml:space="preserve">В соответствии с частью 5 статьи 1 Федерального закона </w:t>
        <w:br/>
        <w:t>от 31.07.2020 № 248-ФЗ «О государственном контроле (надзоре) и муниципальном контроле в Российской Федерации», подпунктом 7.3 пункта 7 части 2 статьи 5 от 27.07.2010 № 190-ФЗ «О теплоснабжении», постановлением Правительства Российской Федерации от 30.05.2026 № 655 «Об утверждении общих требований к организации и осуществлению регионального государственного контроля (надзора) за реализацией инвестиционных программ организаций, осуществляющих регулируемые виды деятельности в сфере теплоснабжения (за исключением инвестиционных программ, утверждаемых в соответствии с законодательством Российской Федерации об электроэнергетике)»</w:t>
      </w:r>
    </w:p>
    <w:p>
      <w:pPr>
        <w:pStyle w:val="Normal"/>
        <w:spacing w:lineRule="auto" w:line="288" w:before="0" w:after="0"/>
        <w:ind w:hanging="0"/>
        <w:jc w:val="left"/>
        <w:rPr>
          <w:rFonts w:ascii="Times New Roman" w:hAnsi="Times New Roman"/>
          <w:sz w:val="28"/>
          <w:szCs w:val="28"/>
          <w14:ligatures w14:val="none"/>
        </w:rPr>
      </w:pPr>
      <w:r>
        <w:rPr>
          <w:rFonts w:ascii="Times New Roman" w:hAnsi="Times New Roman"/>
          <w:sz w:val="28"/>
          <w:szCs w:val="28"/>
          <w14:ligatures w14:val="none"/>
        </w:rPr>
      </w:r>
    </w:p>
    <w:p>
      <w:pPr>
        <w:pStyle w:val="Normal"/>
        <w:spacing w:lineRule="auto" w:line="288" w:before="0" w:after="0"/>
        <w:ind w:firstLine="709"/>
        <w:jc w:val="left"/>
        <w:rPr>
          <w:rFonts w:ascii="Times New Roman" w:hAnsi="Times New Roman"/>
          <w:sz w:val="28"/>
          <w:szCs w:val="28"/>
        </w:rPr>
      </w:pPr>
      <w:r>
        <w:rPr>
          <w:rFonts w:ascii="Times New Roman" w:hAnsi="Times New Roman"/>
          <w:sz w:val="28"/>
          <w:szCs w:val="28"/>
        </w:rPr>
        <w:t>ПРАВИТЕЛЬСТВО ПОСТАНОВЛЯЕТ:</w:t>
      </w:r>
    </w:p>
    <w:p>
      <w:pPr>
        <w:pStyle w:val="Normal"/>
        <w:spacing w:lineRule="auto" w:line="288" w:before="0" w:after="0"/>
        <w:ind w:firstLine="709"/>
        <w:jc w:val="left"/>
        <w:rPr>
          <w:rFonts w:ascii="Times New Roman" w:hAnsi="Times New Roman"/>
          <w:sz w:val="28"/>
          <w:szCs w:val="28"/>
        </w:rPr>
      </w:pPr>
      <w:r>
        <w:rPr>
          <w:rFonts w:ascii="Times New Roman" w:hAnsi="Times New Roman"/>
          <w:sz w:val="28"/>
          <w:szCs w:val="28"/>
        </w:rPr>
      </w:r>
    </w:p>
    <w:p>
      <w:pPr>
        <w:pStyle w:val="Normal"/>
        <w:pBdr/>
        <w:spacing w:lineRule="auto" w:line="288" w:before="0" w:after="0"/>
        <w:ind w:firstLine="708" w:left="0" w:right="0"/>
        <w:jc w:val="both"/>
        <w:rPr>
          <w:rFonts w:ascii="Times New Roman" w:hAnsi="Times New Roman"/>
          <w:sz w:val="28"/>
          <w:szCs w:val="28"/>
          <w14:ligatures w14:val="none"/>
        </w:rPr>
      </w:pPr>
      <w:r>
        <w:rPr>
          <w:rFonts w:ascii="Times New Roman" w:hAnsi="Times New Roman"/>
          <w:sz w:val="28"/>
          <w:szCs w:val="28"/>
        </w:rPr>
        <w:t>1. Утвердить Положение о региональном государственном контроле (надзоре) за реализацией инвестиционных программ организаций, осуществляющих регулируемые виды деятельности в сфере теплоснабжения на территории Камчатского края согласно приложению к настоящему постановлению.</w:t>
      </w:r>
    </w:p>
    <w:p>
      <w:pPr>
        <w:pStyle w:val="Normal"/>
        <w:spacing w:lineRule="auto" w:line="288" w:before="0" w:after="0"/>
        <w:ind w:firstLine="709" w:left="0" w:right="0"/>
        <w:jc w:val="both"/>
        <w:rPr>
          <w:rFonts w:ascii="Times New Roman" w:hAnsi="Times New Roman"/>
        </w:rPr>
      </w:pPr>
      <w:r>
        <w:rPr>
          <w:rFonts w:ascii="Times New Roman" w:hAnsi="Times New Roman"/>
          <w:sz w:val="28"/>
        </w:rPr>
        <w:t>2. Настоящее постановление вступает в силу после дня его официального опубликования.</w:t>
      </w:r>
    </w:p>
    <w:p>
      <w:pPr>
        <w:pStyle w:val="Normal"/>
        <w:spacing w:lineRule="auto" w:line="288" w:before="0" w:after="0"/>
        <w:ind w:hanging="0"/>
        <w:jc w:val="left"/>
        <w:rPr>
          <w:rFonts w:ascii="Times New Roman" w:hAnsi="Times New Roman"/>
          <w:sz w:val="28"/>
          <w:szCs w:val="28"/>
          <w:highlight w:val="none"/>
        </w:rPr>
      </w:pPr>
      <w:r>
        <w:rPr>
          <w:rFonts w:ascii="Times New Roman" w:hAnsi="Times New Roman"/>
          <w:sz w:val="28"/>
          <w:szCs w:val="28"/>
        </w:rPr>
      </w:r>
    </w:p>
    <w:p>
      <w:pPr>
        <w:pStyle w:val="Normal"/>
        <w:spacing w:lineRule="auto" w:line="288" w:before="0" w:after="0"/>
        <w:ind w:hanging="0"/>
        <w:jc w:val="left"/>
        <w:rPr>
          <w:rFonts w:ascii="Times New Roman" w:hAnsi="Times New Roman"/>
          <w:sz w:val="28"/>
          <w:szCs w:val="28"/>
          <w:highlight w:val="none"/>
        </w:rPr>
      </w:pPr>
      <w:r>
        <w:rPr>
          <w:rFonts w:ascii="Times New Roman" w:hAnsi="Times New Roman"/>
          <w:sz w:val="28"/>
          <w:szCs w:val="28"/>
        </w:rPr>
      </w:r>
    </w:p>
    <w:p>
      <w:pPr>
        <w:pStyle w:val="Normal"/>
        <w:spacing w:lineRule="auto" w:line="288" w:before="0" w:after="0"/>
        <w:ind w:hanging="0"/>
        <w:jc w:val="left"/>
        <w:rPr>
          <w:rFonts w:ascii="Times New Roman" w:hAnsi="Times New Roman"/>
          <w:sz w:val="28"/>
          <w:szCs w:val="28"/>
          <w:highlight w:val="none"/>
        </w:rPr>
      </w:pPr>
      <w:r>
        <w:rPr>
          <w:rFonts w:ascii="Times New Roman" w:hAnsi="Times New Roman"/>
          <w:sz w:val="28"/>
          <w:szCs w:val="28"/>
        </w:rPr>
      </w:r>
    </w:p>
    <w:tbl>
      <w:tblPr>
        <w:tblW w:w="9674" w:type="dxa"/>
        <w:jc w:val="left"/>
        <w:tblInd w:w="-34" w:type="dxa"/>
        <w:tblLayout w:type="fixed"/>
        <w:tblCellMar>
          <w:top w:w="0" w:type="dxa"/>
          <w:left w:w="0" w:type="dxa"/>
          <w:bottom w:w="0" w:type="dxa"/>
          <w:right w:w="0" w:type="dxa"/>
        </w:tblCellMar>
        <w:tblLook w:val="04a0" w:noHBand="0" w:noVBand="1" w:firstColumn="1" w:lastRow="0" w:lastColumn="0" w:firstRow="1"/>
      </w:tblPr>
      <w:tblGrid>
        <w:gridCol w:w="3578"/>
        <w:gridCol w:w="3543"/>
        <w:gridCol w:w="2553"/>
      </w:tblGrid>
      <w:tr>
        <w:trPr>
          <w:trHeight w:val="1999" w:hRule="atLeast"/>
        </w:trPr>
        <w:tc>
          <w:tcPr>
            <w:tcW w:w="3578" w:type="dxa"/>
            <w:tcBorders/>
            <w:shd w:color="auto" w:fill="auto" w:val="clear"/>
          </w:tcPr>
          <w:p>
            <w:pPr>
              <w:pStyle w:val="Normal"/>
              <w:spacing w:lineRule="auto" w:line="240" w:before="0" w:after="0"/>
              <w:ind w:hanging="0" w:left="30" w:right="27"/>
              <w:rPr/>
            </w:pPr>
            <w:r>
              <w:rPr>
                <w:rFonts w:ascii="Times New Roman" w:hAnsi="Times New Roman"/>
                <w:color w:themeColor="text1" w:val="000000"/>
                <w:sz w:val="28"/>
              </w:rPr>
              <w:t>Председатель</w:t>
            </w:r>
          </w:p>
          <w:p>
            <w:pPr>
              <w:pStyle w:val="Normal"/>
              <w:spacing w:lineRule="auto" w:line="240" w:before="0" w:after="0"/>
              <w:ind w:hanging="0" w:left="30" w:right="27"/>
              <w:rPr/>
            </w:pPr>
            <w:r>
              <w:rPr>
                <w:rFonts w:ascii="Times New Roman" w:hAnsi="Times New Roman"/>
                <w:color w:themeColor="text1" w:val="000000"/>
                <w:sz w:val="28"/>
              </w:rPr>
              <w:t>Правительства</w:t>
            </w:r>
          </w:p>
          <w:p>
            <w:pPr>
              <w:pStyle w:val="Normal"/>
              <w:spacing w:lineRule="auto" w:line="240" w:before="0" w:after="0"/>
              <w:ind w:hanging="0" w:left="30" w:right="27"/>
              <w:rPr>
                <w:rFonts w:ascii="Times New Roman" w:hAnsi="Times New Roman"/>
                <w:color w:themeColor="text1" w:val="000000"/>
                <w:sz w:val="28"/>
                <w:szCs w:val="28"/>
              </w:rPr>
            </w:pPr>
            <w:bookmarkStart w:id="1" w:name="undefined"/>
            <w:bookmarkEnd w:id="1"/>
            <w:r>
              <w:rPr>
                <w:rFonts w:ascii="Times New Roman" w:hAnsi="Times New Roman"/>
                <w:color w:themeColor="text1" w:val="000000"/>
                <w:sz w:val="28"/>
              </w:rPr>
              <w:t>Камчатского края</w:t>
            </w:r>
          </w:p>
          <w:p>
            <w:pPr>
              <w:pStyle w:val="Normal"/>
              <w:spacing w:lineRule="auto" w:line="240" w:before="0" w:after="0"/>
              <w:ind w:left="30" w:right="27"/>
              <w:rPr>
                <w:rFonts w:ascii="Times New Roman" w:hAnsi="Times New Roman"/>
                <w:color w:themeColor="text1" w:val="000000"/>
                <w:sz w:val="24"/>
              </w:rPr>
            </w:pPr>
            <w:r>
              <w:rPr>
                <w:rFonts w:ascii="Times New Roman" w:hAnsi="Times New Roman"/>
                <w:color w:themeColor="text1" w:val="000000"/>
                <w:sz w:val="24"/>
              </w:rPr>
            </w:r>
          </w:p>
          <w:p>
            <w:pPr>
              <w:pStyle w:val="Normal"/>
              <w:spacing w:lineRule="auto" w:line="240" w:before="0" w:after="0"/>
              <w:ind w:left="30" w:right="27"/>
              <w:rPr>
                <w:rFonts w:ascii="Times New Roman" w:hAnsi="Times New Roman"/>
                <w:color w:themeColor="text1" w:val="000000"/>
                <w:sz w:val="24"/>
              </w:rPr>
            </w:pPr>
            <w:r>
              <w:rPr>
                <w:rFonts w:ascii="Times New Roman" w:hAnsi="Times New Roman"/>
                <w:color w:themeColor="text1" w:val="000000"/>
                <w:sz w:val="24"/>
              </w:rPr>
            </w:r>
          </w:p>
        </w:tc>
        <w:tc>
          <w:tcPr>
            <w:tcW w:w="3543" w:type="dxa"/>
            <w:tcBorders/>
            <w:shd w:color="auto" w:fill="auto" w:val="clear"/>
          </w:tcPr>
          <w:p>
            <w:pPr>
              <w:pStyle w:val="Normal"/>
              <w:spacing w:lineRule="auto" w:line="240" w:before="0" w:after="0"/>
              <w:ind w:hanging="3" w:left="3"/>
              <w:rPr>
                <w:rFonts w:ascii="Times New Roman" w:hAnsi="Times New Roman"/>
                <w:color w:themeColor="text1" w:val="000000"/>
                <w:sz w:val="24"/>
              </w:rPr>
            </w:pPr>
            <w:r>
              <w:rPr>
                <w:rFonts w:ascii="Times New Roman" w:hAnsi="Times New Roman"/>
                <w:color w:themeColor="text1" w:val="000000"/>
                <w:sz w:val="24"/>
              </w:rPr>
            </w:r>
          </w:p>
          <w:p>
            <w:pPr>
              <w:pStyle w:val="Normal"/>
              <w:spacing w:lineRule="auto" w:line="240" w:before="0" w:after="0"/>
              <w:ind w:hanging="3" w:left="3"/>
              <w:rPr>
                <w:rFonts w:ascii="Times New Roman" w:hAnsi="Times New Roman"/>
                <w:color w:themeColor="text1" w:val="000000"/>
                <w:sz w:val="24"/>
              </w:rPr>
            </w:pPr>
            <w:r>
              <w:rPr>
                <w:rFonts w:ascii="Times New Roman" w:hAnsi="Times New Roman"/>
                <w:color w:themeColor="text1" w:val="000000"/>
                <w:sz w:val="24"/>
              </w:rPr>
            </w:r>
          </w:p>
          <w:p>
            <w:pPr>
              <w:pStyle w:val="Normal"/>
              <w:spacing w:lineRule="auto" w:line="240" w:before="0" w:after="0"/>
              <w:ind w:left="-1130"/>
              <w:rPr>
                <w:rFonts w:ascii="Times New Roman" w:hAnsi="Times New Roman"/>
                <w:color w:themeColor="text1" w:val="000000"/>
                <w:sz w:val="24"/>
              </w:rPr>
            </w:pPr>
            <w:bookmarkStart w:id="2" w:name="SIGNERSTAMP1"/>
            <w:r>
              <w:rPr>
                <w:rFonts w:ascii="Times New Roman" w:hAnsi="Times New Roman"/>
                <w:color w:themeColor="background1" w:val="FFFFFF"/>
                <w:sz w:val="24"/>
              </w:rPr>
              <w:t>[горизонтальный штамп подписи 1]</w:t>
            </w:r>
            <w:bookmarkEnd w:id="2"/>
          </w:p>
        </w:tc>
        <w:tc>
          <w:tcPr>
            <w:tcW w:w="2553" w:type="dxa"/>
            <w:tcBorders/>
            <w:shd w:color="auto" w:fill="auto" w:val="clear"/>
          </w:tcPr>
          <w:p>
            <w:pPr>
              <w:pStyle w:val="Normal"/>
              <w:spacing w:lineRule="auto" w:line="240" w:before="0" w:after="0"/>
              <w:ind w:right="135"/>
              <w:jc w:val="right"/>
              <w:rPr>
                <w:rFonts w:ascii="Times New Roman" w:hAnsi="Times New Roman"/>
                <w:color w:themeColor="text1" w:val="000000"/>
                <w:sz w:val="28"/>
              </w:rPr>
            </w:pPr>
            <w:r>
              <w:rPr>
                <w:rFonts w:ascii="Times New Roman" w:hAnsi="Times New Roman"/>
                <w:color w:themeColor="text1" w:val="000000"/>
                <w:sz w:val="28"/>
              </w:rPr>
            </w:r>
          </w:p>
          <w:p>
            <w:pPr>
              <w:pStyle w:val="Normal"/>
              <w:spacing w:lineRule="auto" w:line="240" w:before="0" w:after="0"/>
              <w:jc w:val="right"/>
              <w:rPr>
                <w:rFonts w:ascii="Times New Roman" w:hAnsi="Times New Roman"/>
                <w:color w:themeColor="text1" w:val="000000"/>
                <w:sz w:val="28"/>
              </w:rPr>
            </w:pPr>
            <w:r>
              <w:rPr>
                <w:rFonts w:ascii="Times New Roman" w:hAnsi="Times New Roman"/>
                <w:color w:themeColor="text1" w:val="000000"/>
                <w:sz w:val="28"/>
              </w:rPr>
            </w:r>
          </w:p>
          <w:p>
            <w:pPr>
              <w:pStyle w:val="Normal"/>
              <w:spacing w:lineRule="auto" w:line="240" w:before="0" w:after="0"/>
              <w:jc w:val="left"/>
              <w:rPr>
                <w:rFonts w:ascii="Times New Roman" w:hAnsi="Times New Roman"/>
                <w:color w:themeColor="text1" w:val="000000"/>
                <w:sz w:val="28"/>
                <w:szCs w:val="28"/>
                <w:highlight w:val="none"/>
              </w:rPr>
            </w:pPr>
            <w:r>
              <w:rPr>
                <w:rFonts w:ascii="Times New Roman" w:hAnsi="Times New Roman"/>
                <w:color w:themeColor="text1" w:val="000000"/>
                <w:sz w:val="28"/>
              </w:rPr>
              <w:t xml:space="preserve">         </w:t>
            </w:r>
            <w:r>
              <w:rPr>
                <w:rFonts w:ascii="Times New Roman" w:hAnsi="Times New Roman"/>
                <w:color w:themeColor="text1" w:val="000000"/>
                <w:sz w:val="28"/>
              </w:rPr>
              <w:t>Ю.С. Морозова</w:t>
            </w:r>
          </w:p>
        </w:tc>
      </w:tr>
    </w:tbl>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p>
    <w:p>
      <w:pPr>
        <w:pStyle w:val="Normal"/>
        <w:spacing w:lineRule="auto" w:line="240" w:before="0" w:after="0"/>
        <w:rPr>
          <w:rFonts w:ascii="Times New Roman" w:hAnsi="Times New Roman"/>
          <w:sz w:val="28"/>
          <w:szCs w:val="28"/>
        </w:rPr>
      </w:pPr>
      <w:r>
        <w:rPr>
          <w:rFonts w:ascii="Times New Roman" w:hAnsi="Times New Roman"/>
          <w:sz w:val="28"/>
          <w:szCs w:val="28"/>
        </w:rPr>
      </w:r>
      <w:r>
        <w:br w:type="page"/>
      </w:r>
    </w:p>
    <w:tbl>
      <w:tblPr>
        <w:tblStyle w:val="839"/>
        <w:tblW w:w="9636"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76"/>
        <w:gridCol w:w="477"/>
        <w:gridCol w:w="484"/>
        <w:gridCol w:w="3669"/>
        <w:gridCol w:w="480"/>
        <w:gridCol w:w="1870"/>
        <w:gridCol w:w="488"/>
        <w:gridCol w:w="1690"/>
      </w:tblGrid>
      <w:tr>
        <w:trPr/>
        <w:tc>
          <w:tcPr>
            <w:tcW w:w="476" w:type="dxa"/>
            <w:tcBorders/>
          </w:tcPr>
          <w:p>
            <w:pPr>
              <w:pStyle w:val="Normal"/>
              <w:pageBreakBefore/>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77"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84"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3669"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528" w:type="dxa"/>
            <w:gridSpan w:val="4"/>
            <w:tcBorders/>
          </w:tcPr>
          <w:p>
            <w:pPr>
              <w:pStyle w:val="Normal"/>
              <w:widowControl w:val="false"/>
              <w:spacing w:lineRule="auto" w:line="240" w:before="0" w:after="0"/>
              <w:ind w:hanging="8079" w:left="8079" w:right="0"/>
              <w:jc w:val="left"/>
              <w:rPr>
                <w:rFonts w:ascii="Times New Roman" w:hAnsi="Times New Roman"/>
                <w:szCs w:val="28"/>
              </w:rPr>
            </w:pPr>
            <w:r>
              <w:rPr>
                <w:rFonts w:ascii="Times New Roman" w:hAnsi="Times New Roman"/>
                <w:color w:val="000000"/>
                <w:kern w:val="0"/>
                <w:sz w:val="28"/>
              </w:rPr>
              <w:t>Приложение  к постановлению</w:t>
            </w:r>
          </w:p>
        </w:tc>
      </w:tr>
      <w:tr>
        <w:trPr/>
        <w:tc>
          <w:tcPr>
            <w:tcW w:w="476"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77"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84"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3669" w:type="dxa"/>
            <w:tcBorders/>
          </w:tcPr>
          <w:p>
            <w:pPr>
              <w:pStyle w:val="Normal"/>
              <w:widowControl w:val="false"/>
              <w:spacing w:lineRule="auto" w:line="240" w:before="0" w:after="0"/>
              <w:ind w:hanging="8079" w:left="8079" w:right="0"/>
              <w:jc w:val="right"/>
              <w:rPr>
                <w:rFonts w:ascii="Times New Roman" w:hAnsi="Times New Roman"/>
                <w:szCs w:val="28"/>
              </w:rPr>
            </w:pPr>
            <w:r>
              <w:rPr>
                <w:rFonts w:ascii="Times New Roman" w:hAnsi="Times New Roman"/>
                <w:kern w:val="0"/>
                <w:szCs w:val="28"/>
              </w:rPr>
            </w:r>
          </w:p>
        </w:tc>
        <w:tc>
          <w:tcPr>
            <w:tcW w:w="4528" w:type="dxa"/>
            <w:gridSpan w:val="4"/>
            <w:tcBorders/>
          </w:tcPr>
          <w:p>
            <w:pPr>
              <w:pStyle w:val="Normal"/>
              <w:widowControl w:val="false"/>
              <w:spacing w:lineRule="auto" w:line="240" w:before="0" w:after="0"/>
              <w:ind w:hanging="8079" w:left="8079" w:right="0"/>
              <w:jc w:val="left"/>
              <w:rPr>
                <w:rFonts w:ascii="Times New Roman" w:hAnsi="Times New Roman"/>
                <w:szCs w:val="28"/>
              </w:rPr>
            </w:pPr>
            <w:r>
              <w:rPr>
                <w:rFonts w:ascii="Times New Roman" w:hAnsi="Times New Roman"/>
                <w:color w:val="000000"/>
                <w:kern w:val="0"/>
                <w:sz w:val="28"/>
              </w:rPr>
              <w:t>Правительства Камчатского края</w:t>
            </w:r>
          </w:p>
        </w:tc>
      </w:tr>
      <w:tr>
        <w:trPr/>
        <w:tc>
          <w:tcPr>
            <w:tcW w:w="476"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kern w:val="0"/>
                <w:szCs w:val="28"/>
              </w:rPr>
            </w:r>
          </w:p>
        </w:tc>
        <w:tc>
          <w:tcPr>
            <w:tcW w:w="477"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kern w:val="0"/>
                <w:szCs w:val="28"/>
              </w:rPr>
            </w:r>
          </w:p>
        </w:tc>
        <w:tc>
          <w:tcPr>
            <w:tcW w:w="484"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kern w:val="0"/>
                <w:szCs w:val="28"/>
              </w:rPr>
            </w:r>
          </w:p>
        </w:tc>
        <w:tc>
          <w:tcPr>
            <w:tcW w:w="3669"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kern w:val="0"/>
                <w:szCs w:val="28"/>
              </w:rPr>
            </w:r>
          </w:p>
        </w:tc>
        <w:tc>
          <w:tcPr>
            <w:tcW w:w="480"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color w:val="000000"/>
                <w:kern w:val="0"/>
                <w:sz w:val="28"/>
              </w:rPr>
              <w:t>от</w:t>
            </w:r>
          </w:p>
        </w:tc>
        <w:tc>
          <w:tcPr>
            <w:tcW w:w="1870" w:type="dxa"/>
            <w:tcBorders/>
          </w:tcPr>
          <w:p>
            <w:pPr>
              <w:pStyle w:val="Normal"/>
              <w:widowControl/>
              <w:spacing w:lineRule="auto" w:line="240" w:before="0" w:after="60"/>
              <w:ind w:hanging="8079" w:left="8079" w:right="0"/>
              <w:jc w:val="right"/>
              <w:rPr>
                <w:rFonts w:ascii="Times New Roman" w:hAnsi="Times New Roman"/>
                <w:color w:val="FFFFFF"/>
                <w:szCs w:val="28"/>
              </w:rPr>
            </w:pPr>
            <w:r>
              <w:rPr>
                <w:rFonts w:ascii="Times New Roman" w:hAnsi="Times New Roman"/>
                <w:color w:themeColor="background1" w:val="FFFFFF"/>
                <w:kern w:val="0"/>
                <w:sz w:val="28"/>
              </w:rPr>
              <w:t>[R</w:t>
            </w:r>
            <w:r>
              <w:rPr>
                <w:rFonts w:ascii="Times New Roman" w:hAnsi="Times New Roman"/>
                <w:color w:themeColor="background1" w:val="FFFFFF"/>
                <w:kern w:val="0"/>
                <w:sz w:val="16"/>
              </w:rPr>
              <w:t>EGDATESTAMP]</w:t>
            </w:r>
          </w:p>
        </w:tc>
        <w:tc>
          <w:tcPr>
            <w:tcW w:w="488" w:type="dxa"/>
            <w:tcBorders/>
          </w:tcPr>
          <w:p>
            <w:pPr>
              <w:pStyle w:val="Normal"/>
              <w:widowControl/>
              <w:spacing w:lineRule="auto" w:line="240" w:before="0" w:after="60"/>
              <w:ind w:hanging="8079" w:left="8079" w:right="0"/>
              <w:jc w:val="right"/>
              <w:rPr>
                <w:rFonts w:ascii="Times New Roman" w:hAnsi="Times New Roman"/>
                <w:szCs w:val="28"/>
              </w:rPr>
            </w:pPr>
            <w:r>
              <w:rPr>
                <w:rFonts w:ascii="Times New Roman" w:hAnsi="Times New Roman"/>
                <w:color w:val="000000"/>
                <w:kern w:val="0"/>
                <w:sz w:val="28"/>
              </w:rPr>
              <w:t>№</w:t>
            </w:r>
          </w:p>
        </w:tc>
        <w:tc>
          <w:tcPr>
            <w:tcW w:w="1690" w:type="dxa"/>
            <w:tcBorders/>
          </w:tcPr>
          <w:p>
            <w:pPr>
              <w:pStyle w:val="Normal"/>
              <w:widowControl/>
              <w:spacing w:lineRule="auto" w:line="240" w:before="0" w:after="60"/>
              <w:ind w:hanging="8079" w:left="8079" w:right="0"/>
              <w:jc w:val="right"/>
              <w:rPr>
                <w:rFonts w:ascii="Times New Roman" w:hAnsi="Times New Roman"/>
                <w:color w:val="FFFFFF"/>
                <w:szCs w:val="28"/>
              </w:rPr>
            </w:pPr>
            <w:r>
              <w:rPr>
                <w:rFonts w:ascii="Times New Roman" w:hAnsi="Times New Roman"/>
                <w:color w:themeColor="background1" w:val="FFFFFF"/>
                <w:kern w:val="0"/>
                <w:sz w:val="28"/>
              </w:rPr>
              <w:t>[R</w:t>
            </w:r>
            <w:r>
              <w:rPr>
                <w:rFonts w:ascii="Times New Roman" w:hAnsi="Times New Roman"/>
                <w:color w:themeColor="background1" w:val="FFFFFF"/>
                <w:kern w:val="0"/>
                <w:sz w:val="16"/>
              </w:rPr>
              <w:t>EGNUMSTAMP]</w:t>
            </w:r>
          </w:p>
        </w:tc>
      </w:tr>
    </w:tbl>
    <w:p>
      <w:pPr>
        <w:pStyle w:val="Normal"/>
        <w:spacing w:lineRule="auto" w:line="240" w:before="0" w:after="0"/>
        <w:jc w:val="both"/>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sz w:val="28"/>
          <w:szCs w:val="28"/>
        </w:rPr>
      </w:pPr>
      <w:r>
        <w:rPr>
          <w:rFonts w:ascii="Times New Roman" w:hAnsi="Times New Roman"/>
          <w:sz w:val="28"/>
          <w:szCs w:val="28"/>
        </w:rPr>
        <w:t xml:space="preserve">Положение </w:t>
      </w:r>
    </w:p>
    <w:p>
      <w:pPr>
        <w:pStyle w:val="Normal"/>
        <w:spacing w:lineRule="auto" w:line="240" w:before="0" w:after="0"/>
        <w:jc w:val="center"/>
        <w:rPr>
          <w:rFonts w:ascii="Times New Roman" w:hAnsi="Times New Roman"/>
          <w:sz w:val="28"/>
          <w:szCs w:val="28"/>
          <w14:ligatures w14:val="none"/>
        </w:rPr>
      </w:pPr>
      <w:r>
        <w:rPr>
          <w:rFonts w:ascii="Times New Roman" w:hAnsi="Times New Roman"/>
          <w:sz w:val="28"/>
          <w:szCs w:val="28"/>
        </w:rPr>
        <w:t xml:space="preserve">о региональном государственном контроле (надзоре) за реализацией инвестиционных программ организаций, осуществляющих регулируемые виды деятельности в сфере теплоснабжения на территории Камчатского края </w:t>
        <w:br/>
        <w:t>(далее – Положение)</w:t>
      </w:r>
    </w:p>
    <w:p>
      <w:pPr>
        <w:pStyle w:val="Normal"/>
        <w:spacing w:lineRule="auto" w:line="240" w:before="0" w:after="0"/>
        <w:ind w:firstLine="709" w:left="0" w:right="0"/>
        <w:jc w:val="both"/>
        <w:rPr/>
      </w:pPr>
      <w:r>
        <w:rPr/>
      </w:r>
    </w:p>
    <w:p>
      <w:pPr>
        <w:pStyle w:val="Normal"/>
        <w:spacing w:lineRule="auto" w:line="240" w:before="0" w:after="0"/>
        <w:ind w:firstLine="709" w:left="0" w:right="0"/>
        <w:jc w:val="center"/>
        <w:rPr>
          <w:rFonts w:ascii="Times New Roman" w:hAnsi="Times New Roman"/>
          <w:b w:val="false"/>
          <w:bCs w:val="false"/>
          <w:color w:themeColor="text1" w:val="000000"/>
          <w:sz w:val="28"/>
          <w:szCs w:val="28"/>
          <w:highlight w:val="none"/>
        </w:rPr>
      </w:pPr>
      <w:r>
        <w:rPr>
          <w:rFonts w:ascii="Times New Roman" w:hAnsi="Times New Roman"/>
          <w:b w:val="false"/>
          <w:color w:themeColor="text1" w:val="000000"/>
          <w:sz w:val="28"/>
        </w:rPr>
        <w:t>Общие положения</w:t>
      </w:r>
    </w:p>
    <w:p>
      <w:pPr>
        <w:pStyle w:val="Normal"/>
        <w:spacing w:lineRule="auto" w:line="240" w:before="0" w:after="0"/>
        <w:ind w:firstLine="709" w:left="0" w:right="0"/>
        <w:jc w:val="center"/>
        <w:rPr>
          <w:rFonts w:ascii="Times New Roman" w:hAnsi="Times New Roman"/>
          <w:b w:val="false"/>
          <w:bCs w:val="false"/>
          <w:color w:themeColor="text1" w:val="000000"/>
          <w:sz w:val="28"/>
          <w:szCs w:val="28"/>
        </w:rPr>
      </w:pPr>
      <w:r>
        <w:rPr>
          <w:rFonts w:ascii="Times New Roman" w:hAnsi="Times New Roman"/>
          <w:b w:val="false"/>
          <w:bCs w:val="false"/>
          <w:color w:themeColor="text1" w:val="000000"/>
          <w:sz w:val="28"/>
          <w:szCs w:val="28"/>
        </w:rPr>
      </w:r>
    </w:p>
    <w:p>
      <w:pPr>
        <w:pStyle w:val="Normal"/>
        <w:spacing w:lineRule="auto" w:line="240" w:before="0" w:after="0"/>
        <w:ind w:firstLine="709" w:left="0" w:right="0"/>
        <w:jc w:val="both"/>
        <w:rPr/>
      </w:pPr>
      <w:r>
        <w:rPr>
          <w:rFonts w:ascii="Times New Roman" w:hAnsi="Times New Roman"/>
          <w:b w:val="false"/>
          <w:color w:themeColor="text1" w:val="000000"/>
          <w:sz w:val="28"/>
        </w:rPr>
        <w:t>1. Настоящее Положение устанавливает порядок организации и осуществления регионального государственного контроля (надзора) за реализацией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законодательством Российской Федерации об электроэнергетике) (далее – региональный контроль (надзор).</w:t>
      </w:r>
    </w:p>
    <w:p>
      <w:pPr>
        <w:pStyle w:val="Normal"/>
        <w:spacing w:lineRule="auto" w:line="240" w:before="0" w:after="0"/>
        <w:ind w:firstLine="709" w:left="0" w:right="0"/>
        <w:jc w:val="both"/>
        <w:rPr/>
      </w:pPr>
      <w:r>
        <w:rPr>
          <w:rFonts w:ascii="Times New Roman" w:hAnsi="Times New Roman"/>
          <w:b w:val="false"/>
          <w:color w:themeColor="text1" w:val="000000"/>
          <w:sz w:val="28"/>
        </w:rPr>
        <w:t>2. Предметом регионального контроля (надзора) является соблюдение организациями, осуществляющими регулируемые виды деятельности в сфере теплоснабжения, следующих обязательных требований, установленных Федеральным законом от 27.07.2010 № 190-ФЗ «О теплоснабжении» и принятыми в соответствии с ним нормативными правовыми актами Российской Федерации (далее – обязательные требования):</w:t>
      </w:r>
    </w:p>
    <w:p>
      <w:pPr>
        <w:pStyle w:val="Normal"/>
        <w:spacing w:lineRule="auto" w:line="240" w:before="0" w:after="0"/>
        <w:ind w:firstLine="709" w:left="0" w:right="0"/>
        <w:jc w:val="both"/>
        <w:rPr/>
      </w:pPr>
      <w:r>
        <w:rPr>
          <w:rFonts w:ascii="Times New Roman" w:hAnsi="Times New Roman"/>
          <w:b w:val="false"/>
          <w:color w:themeColor="text1" w:val="000000"/>
          <w:sz w:val="28"/>
        </w:rPr>
        <w:t>требования к разработке, направлению на утверждение и реализации инвестиционных программ;</w:t>
      </w:r>
    </w:p>
    <w:p>
      <w:pPr>
        <w:pStyle w:val="Normal"/>
        <w:spacing w:lineRule="auto" w:line="240" w:before="0" w:after="0"/>
        <w:ind w:firstLine="709" w:left="0" w:right="0"/>
        <w:jc w:val="both"/>
        <w:rPr/>
      </w:pPr>
      <w:r>
        <w:rPr>
          <w:rFonts w:ascii="Times New Roman" w:hAnsi="Times New Roman"/>
          <w:b w:val="false"/>
          <w:color w:themeColor="text1" w:val="000000"/>
          <w:sz w:val="28"/>
        </w:rPr>
        <w:t>требования к составам, срокам и показателям реализации мероприятий инвестиционных программ, источникам их финансирования;</w:t>
      </w:r>
    </w:p>
    <w:p>
      <w:pPr>
        <w:pStyle w:val="Normal"/>
        <w:spacing w:lineRule="auto" w:line="240" w:before="0" w:after="0"/>
        <w:ind w:firstLine="709" w:left="0" w:right="0"/>
        <w:jc w:val="both"/>
        <w:rPr/>
      </w:pPr>
      <w:r>
        <w:rPr>
          <w:rFonts w:ascii="Times New Roman" w:hAnsi="Times New Roman"/>
          <w:b w:val="false"/>
          <w:color w:themeColor="text1" w:val="000000"/>
          <w:sz w:val="28"/>
        </w:rPr>
        <w:t>требования к достижению при реализации инвестиционных программ плановых показателей надежности и энергетической эффективности объектов теплоснабжения.</w:t>
      </w:r>
    </w:p>
    <w:p>
      <w:pPr>
        <w:pStyle w:val="Normal"/>
        <w:spacing w:lineRule="auto" w:line="240" w:before="0" w:after="0"/>
        <w:ind w:firstLine="709" w:left="0" w:right="0"/>
        <w:jc w:val="both"/>
        <w:rPr/>
      </w:pPr>
      <w:r>
        <w:rPr>
          <w:rFonts w:ascii="Times New Roman" w:hAnsi="Times New Roman"/>
          <w:b w:val="false"/>
          <w:color w:themeColor="text1" w:val="000000"/>
          <w:sz w:val="28"/>
        </w:rPr>
        <w:t>3. Региональный контроль (надзор) осуществляется Министерством жилищно-коммунального хозяйства и энергетики Камчатского края (далее – Министерство).</w:t>
      </w:r>
    </w:p>
    <w:p>
      <w:pPr>
        <w:pStyle w:val="Normal"/>
        <w:spacing w:lineRule="auto" w:line="240" w:before="0" w:after="0"/>
        <w:ind w:firstLine="709" w:left="0" w:right="0"/>
        <w:jc w:val="both"/>
        <w:rPr/>
      </w:pPr>
      <w:r>
        <w:rPr>
          <w:rFonts w:ascii="Times New Roman" w:hAnsi="Times New Roman"/>
          <w:b w:val="false"/>
          <w:color w:themeColor="text1" w:val="000000"/>
          <w:sz w:val="28"/>
        </w:rPr>
        <w:t>4. Должностными лицами, уполномоченными на осуществление регионального контроля (надзора) (далее – должностные лица), являются:</w:t>
      </w:r>
    </w:p>
    <w:p>
      <w:pPr>
        <w:pStyle w:val="Normal"/>
        <w:spacing w:lineRule="auto" w:line="240" w:before="0" w:after="0"/>
        <w:ind w:firstLine="709" w:left="0" w:right="0"/>
        <w:jc w:val="both"/>
        <w:rPr/>
      </w:pPr>
      <w:r>
        <w:rPr>
          <w:rFonts w:ascii="Times New Roman" w:hAnsi="Times New Roman"/>
          <w:b w:val="false"/>
          <w:color w:themeColor="text1" w:val="000000"/>
          <w:sz w:val="28"/>
        </w:rPr>
        <w:t>1)  Министр жилищно-коммунального хозяйства и энергетики Камчатского края (лицо, его замещающее) (далее – Министр);</w:t>
      </w:r>
    </w:p>
    <w:p>
      <w:pPr>
        <w:pStyle w:val="Normal"/>
        <w:spacing w:lineRule="auto" w:line="240" w:before="0" w:after="0"/>
        <w:ind w:firstLine="709" w:left="0" w:right="0"/>
        <w:jc w:val="both"/>
        <w:rPr/>
      </w:pPr>
      <w:r>
        <w:rPr>
          <w:rFonts w:ascii="Times New Roman" w:hAnsi="Times New Roman"/>
          <w:b w:val="false"/>
          <w:color w:themeColor="text1" w:val="000000"/>
          <w:sz w:val="28"/>
        </w:rPr>
        <w:t>2) заместители Министра;</w:t>
      </w:r>
    </w:p>
    <w:p>
      <w:pPr>
        <w:pStyle w:val="Normal"/>
        <w:spacing w:lineRule="auto" w:line="240" w:before="0" w:after="0"/>
        <w:ind w:firstLine="709" w:left="0" w:right="0"/>
        <w:jc w:val="both"/>
        <w:rPr/>
      </w:pPr>
      <w:r>
        <w:rPr>
          <w:rFonts w:ascii="Times New Roman" w:hAnsi="Times New Roman"/>
          <w:b w:val="false"/>
          <w:color w:themeColor="text1" w:val="000000"/>
          <w:sz w:val="28"/>
        </w:rPr>
        <w:t>3) должностные лица Министерства, должностным регламентом которых установлена обязанность по осуществлению регионального контроля (надзора).</w:t>
      </w:r>
    </w:p>
    <w:p>
      <w:pPr>
        <w:pStyle w:val="Normal"/>
        <w:spacing w:lineRule="auto" w:line="240" w:before="0" w:after="0"/>
        <w:ind w:firstLine="709" w:left="0" w:right="0"/>
        <w:jc w:val="both"/>
        <w:rPr/>
      </w:pPr>
      <w:r>
        <w:rPr>
          <w:rFonts w:ascii="Times New Roman" w:hAnsi="Times New Roman"/>
          <w:b w:val="false"/>
          <w:color w:themeColor="text1" w:val="000000"/>
          <w:sz w:val="28"/>
        </w:rPr>
        <w:t>5. Должностным лицом, уполномоченным на принятие решений о проведении контрольных (надзорных) мероприятий, является Министр.</w:t>
      </w:r>
    </w:p>
    <w:p>
      <w:pPr>
        <w:pStyle w:val="Normal"/>
        <w:spacing w:lineRule="auto" w:line="240" w:before="0" w:after="0"/>
        <w:ind w:firstLine="709" w:left="0" w:right="0"/>
        <w:jc w:val="both"/>
        <w:rPr/>
      </w:pPr>
      <w:r>
        <w:rPr>
          <w:rFonts w:ascii="Times New Roman" w:hAnsi="Times New Roman"/>
          <w:b w:val="false"/>
          <w:color w:themeColor="text1" w:val="000000"/>
          <w:sz w:val="28"/>
        </w:rPr>
        <w:t>6. Должностные лица, осуществляющие региональный контроль (надзор),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установленными частью 2 статьи 29 Федерального закона от 31.07.2020 № 248-ФЗ «О государственном контроле (надзоре) и муниципальном контроле в Российской Федерации» (далее – Федеральный закон № 248-ФЗ), а также следующими правами:</w:t>
      </w:r>
    </w:p>
    <w:p>
      <w:pPr>
        <w:pStyle w:val="Normal"/>
        <w:spacing w:lineRule="auto" w:line="240" w:before="0" w:after="0"/>
        <w:ind w:firstLine="709" w:left="0" w:right="0"/>
        <w:jc w:val="both"/>
        <w:rPr/>
      </w:pPr>
      <w:r>
        <w:rPr>
          <w:rFonts w:ascii="Times New Roman" w:hAnsi="Times New Roman"/>
          <w:b w:val="false"/>
          <w:color w:themeColor="text1" w:val="000000"/>
          <w:sz w:val="28"/>
        </w:rPr>
        <w:t xml:space="preserve">1) запрашивать и получать на безвозмездной основе, в том числе в электронной форме, документы и (или) информацию, предусмотренную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утвержденным распоряжением Правительства Российской Федерации от 19.04.2016 № 724-р в порядке и сроки, утвержденные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w:t>
        <w:br/>
        <w:t>от 06.03.2021 № 338;</w:t>
      </w:r>
    </w:p>
    <w:p>
      <w:pPr>
        <w:pStyle w:val="Normal"/>
        <w:spacing w:lineRule="auto" w:line="240" w:before="0" w:after="0"/>
        <w:ind w:firstLine="709" w:left="0" w:right="0"/>
        <w:jc w:val="both"/>
        <w:rPr/>
      </w:pPr>
      <w:r>
        <w:rPr>
          <w:rFonts w:ascii="Times New Roman" w:hAnsi="Times New Roman"/>
          <w:b w:val="false"/>
          <w:color w:themeColor="text1" w:val="000000"/>
          <w:sz w:val="28"/>
        </w:rPr>
        <w:t>2) привлекать специалистов и (или) экспертов, экспертные организации для совершения отдельных контрольных (надзорных) действий в соответствии со статьями 33, 34 Федерального закона № 248-ФЗ.</w:t>
      </w:r>
    </w:p>
    <w:p>
      <w:pPr>
        <w:pStyle w:val="Normal"/>
        <w:spacing w:lineRule="auto" w:line="240" w:before="0" w:after="0"/>
        <w:ind w:firstLine="709" w:left="0" w:right="0"/>
        <w:jc w:val="both"/>
        <w:rPr/>
      </w:pPr>
      <w:r>
        <w:rPr>
          <w:rFonts w:ascii="Times New Roman" w:hAnsi="Times New Roman"/>
          <w:b w:val="false"/>
          <w:color w:themeColor="text1" w:val="000000"/>
          <w:sz w:val="28"/>
        </w:rPr>
        <w:t>7. Объектами регионального контроля (надзора) (далее – объект контроля) являются:</w:t>
      </w:r>
    </w:p>
    <w:p>
      <w:pPr>
        <w:pStyle w:val="Normal"/>
        <w:spacing w:lineRule="auto" w:line="240" w:before="0" w:after="0"/>
        <w:ind w:firstLine="709" w:left="0" w:right="0"/>
        <w:jc w:val="both"/>
        <w:rPr/>
      </w:pPr>
      <w:r>
        <w:rPr>
          <w:rFonts w:ascii="Times New Roman" w:hAnsi="Times New Roman"/>
          <w:b w:val="false"/>
          <w:color w:themeColor="text1" w:val="000000"/>
          <w:sz w:val="28"/>
        </w:rPr>
        <w:t>1) деятельность, действия (бездействие) организаций (индивидуальных предпринимателей), осуществляющих регулируемые виды деятельности в сфере теплоснабжения (далее – контролируемые лица), по разработке, направлению на утверждение и реализации инвестиционных программ, в рамках которых должны соблюдаться обязательные требования;</w:t>
      </w:r>
    </w:p>
    <w:p>
      <w:pPr>
        <w:pStyle w:val="Normal"/>
        <w:spacing w:lineRule="auto" w:line="240" w:before="0" w:after="0"/>
        <w:ind w:firstLine="709" w:left="0" w:right="0"/>
        <w:jc w:val="both"/>
        <w:rPr/>
      </w:pPr>
      <w:r>
        <w:rPr>
          <w:rFonts w:ascii="Times New Roman" w:hAnsi="Times New Roman"/>
          <w:b w:val="false"/>
          <w:color w:themeColor="text1" w:val="000000"/>
          <w:sz w:val="28"/>
        </w:rPr>
        <w:t>2) результаты деятельности контролируемых лиц в виде выполненных мероприятий инвестиционных программ, созданных (приобретенных) в ходе реализации инвестиционных программ объектов основных средств (источников тепловой энергии, тепловых сетей и иных объектов основных средств) и нематериальных активов, предусмотренных пунктом 10 статьи 2 Федерального закона от 27.07.2010 № 190-ФЗ «О теплоснабжении», к которым предъявляются обязательные требования.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color w:themeColor="text1" w:val="000000"/>
          <w:sz w:val="28"/>
        </w:rPr>
        <w:t xml:space="preserve">8. Учет объектов регионального контроля (надзора) осуществляется Министерством </w:t>
      </w:r>
      <w:r>
        <w:rPr>
          <w:rFonts w:ascii="Times New Roman" w:hAnsi="Times New Roman"/>
          <w:b w:val="false"/>
          <w:color w:themeColor="text1" w:val="000000"/>
          <w:sz w:val="28"/>
          <w:highlight w:val="white"/>
        </w:rPr>
        <w:t>с использованием данн</w:t>
      </w:r>
      <w:r>
        <w:rPr>
          <w:rFonts w:ascii="Times New Roman" w:hAnsi="Times New Roman"/>
          <w:b w:val="false"/>
          <w:bCs w:val="false"/>
          <w:color w:themeColor="text1" w:val="000000"/>
          <w:sz w:val="28"/>
          <w:szCs w:val="28"/>
          <w:highlight w:val="white"/>
        </w:rPr>
        <w:t>ых федеральной государственной информационной системы «Тариф» посредством ведения Региональной службой по тарифам и ценам Камчатского края п</w:t>
      </w:r>
      <w:r>
        <w:rPr>
          <w:rFonts w:ascii="Times New Roman" w:hAnsi="Times New Roman"/>
          <w:b w:val="false"/>
          <w:bCs w:val="false"/>
          <w:color w:themeColor="text1" w:val="000000"/>
          <w:sz w:val="28"/>
          <w:szCs w:val="28"/>
        </w:rPr>
        <w:t>еречня объектов регионального государственного контроля (надзора), который содержит следующую информацию:</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rPr>
        <w:t>1) полное наименование юридического лица, фамилия, имя и отчество (при наличии) индивидуального предпринимателя;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rPr>
        <w:t>2) основной государственный регистрационный номер юридического лица или индивидуального предпринимателя;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rPr>
        <w:t>3) адрес места нахождения и осуществления деятельности юридического лица, индивидуального предпринимателя и используемых ими производственных объектов;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rPr>
        <w:t xml:space="preserve">4) вид (виды) деятельности юридического лица, индивидуального предпринимателя в соответствии с Общероссийским </w:t>
      </w:r>
      <w:hyperlink r:id="rId3" w:tgtFrame="https://login.consultant.ru/link/?req=doc&amp;base=LAW&amp;n=538619&amp;date=10.08.2026">
        <w:r>
          <w:rPr>
            <w:rStyle w:val="ListLabel10"/>
            <w:rFonts w:ascii="Times New Roman" w:hAnsi="Times New Roman"/>
            <w:b w:val="false"/>
            <w:bCs w:val="false"/>
            <w:color w:themeColor="text1" w:val="000000"/>
            <w:sz w:val="28"/>
            <w:szCs w:val="28"/>
          </w:rPr>
          <w:t>классификатором</w:t>
        </w:r>
      </w:hyperlink>
      <w:r>
        <w:rPr>
          <w:rFonts w:ascii="Times New Roman" w:hAnsi="Times New Roman"/>
          <w:b w:val="false"/>
          <w:bCs w:val="false"/>
          <w:color w:themeColor="text1" w:val="000000"/>
          <w:sz w:val="28"/>
          <w:szCs w:val="28"/>
        </w:rPr>
        <w:t xml:space="preserve"> видов экономической деятельности;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 данные о регулируемых сферах деятельности, а также об основаниях введения регулирования деятельности юридического лица, индивидуального предпринимателя.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center"/>
        <w:rPr/>
      </w:pPr>
      <w:r>
        <w:rPr>
          <w:rFonts w:ascii="Times New Roman" w:hAnsi="Times New Roman"/>
          <w:b w:val="false"/>
          <w:bCs w:val="false"/>
          <w:color w:themeColor="text1" w:val="000000"/>
          <w:sz w:val="28"/>
          <w:szCs w:val="28"/>
        </w:rPr>
        <w:t>Управление рисками причинения вреда (ущерба) охраняемым</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законом ценностям при осуществлении регионального контроля (надзора)</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9. При осуществлении регионального контроля (надзора) применяется система оценки и управления рисками причинения вреда (ущерба) охраняемым законом ценностям.</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10. Министерство при осуществлении регионального контроля (надзора) относит объекты контроля к одной из следующих категорий риска: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 высокий риск;</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 средний риск;</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3) низкий риск.</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11. Критерии отнесения объектов контроля к определенной категории риска 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приведены в приложении к настоящему Положению.</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 xml:space="preserve">12. Отнесение объектов контроля к определенной категории риска осуществляется ежегодно, не позднее 1 июля года, следующего за отчетным годом. </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 xml:space="preserve">Объект контроля считается отнесенным к одной из категорий риска после внесения сведений в единый реестр видов контроля. </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случае если объект контроля не отнесен Министерством к определенной категории риска, он считается отнесенным к категории низкого риска.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Информирование контролируемого лица об отнесении объектов регионального контроля (надзора) к одной из категорий риска осуществляется в порядке, предусмотренном статьей 21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13. Контролируемое лицо,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вправе подать в Министерство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14. Министерство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должна принять решение об изменении категории риска указанного объекта контроля.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15.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16. В отношении объектов контроля, которые относятся к категории высокого риска, проводятся плановые контрольные (надзорные) мероприятия в виде: инспекционного визита, документарной проверки или выездной проверки один раз в 2 года либо один обязательный профилактический визит в год.</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17. В отношении объектов контроля, которые относятся к категории среднего риска, проводится один обязательный профилактический визит в 5 лет.</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18. Периоды проведения обязательных профилактических визитов исчисляются с момента принятия Министерством решения об отнесении объекта контроля к соответствующей категории риска.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19. При принятии решения о проведении и выборе вида внепланового контрольного (надзорного) мероприятия Министерство использует следующие индикаторы риска нарушения обязательных требований: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 установление Министерством по результатам выездного обследования отсутствия производства работ по строительству, реконструкции, техническому перевооружению и (или) модернизации объектов системы теплоснабжения, предусмотренных в инвестиционной программе, при условии, что срок до момента реализации мероприятия, предусмотренного в такой программе, составляет менее трех месяцев;</w:t>
      </w:r>
    </w:p>
    <w:p>
      <w:pPr>
        <w:pStyle w:val="Normal"/>
        <w:pBdr/>
        <w:spacing w:lineRule="atLeast" w:line="288" w:before="0" w:after="0"/>
        <w:ind w:firstLine="540" w:left="0" w:right="0"/>
        <w:jc w:val="both"/>
        <w:rPr>
          <w:highlight w:val="white"/>
        </w:rPr>
      </w:pPr>
      <w:r>
        <w:rPr>
          <w:rFonts w:ascii="Times New Roman" w:hAnsi="Times New Roman"/>
          <w:b w:val="false"/>
          <w:bCs w:val="false"/>
          <w:color w:themeColor="text1" w:val="000000"/>
          <w:sz w:val="28"/>
          <w:szCs w:val="28"/>
        </w:rPr>
        <w:t>2) установление Министерством по результатам наблюдения за соблюдением обязательных требований (мониторинга безопасности), проведенного в отношении контролируемого лица посредством сбора и анализа данных, имеющихся у Министерства, в том числе данных, размещенных в информационно-телекоммуникационной сети «Интернет», фактов непредставления либо нарушения сроков представления контролируемым лицом в Министерство отчетных форм о выполнении инвестиционной программы дважды в тече</w:t>
      </w:r>
      <w:r>
        <w:rPr>
          <w:rFonts w:ascii="Times New Roman" w:hAnsi="Times New Roman"/>
          <w:b w:val="false"/>
          <w:bCs w:val="false"/>
          <w:color w:themeColor="text1" w:val="000000"/>
          <w:sz w:val="28"/>
          <w:szCs w:val="28"/>
          <w:highlight w:val="white"/>
        </w:rPr>
        <w:t>ние текущего года регулирования;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3) обращение контролируемого лица с заявлением о внесении изменений в инвестиционную программу (корректировки инвестиционной программы) более одного раза в течение календарного года, за исключением корректировки инвестиционной программы, связанной исключительно с мероприятиями по подключению (технологическому присоединению) теплопотребляющих установок потребителей тепловой энергии к системе теплоснабжения;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4) отрицательная динамика достижения целевых показателей энергетической эффективности (удельного расхода топлива на производство единицы тепловой энергии, отпускаемой с коллекторов источников тепловой энергии, величина технологических потерь при передаче тепловой энергии, теплоносителя по тепловым сетям) в течение двух последовательных лет.</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20. Ключевыми показателями регионального контроля (надзора) и их целевыми значениями являются: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доля контрольных (надзорных) мероприятий, результаты которых отменены судом (в общем количестве проведенных контрольных (надзорных) мероприятий, в год) – не более 5 процентов;</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доля профилактических мероприятий к доле контрольных (надзорных) мероприятий, в год – не менее 30 процентов.</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21. Индикативными показателями регионального контроля (надзора) являются: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количество обязательных профилактических визитов, проведенных за отчетный период;</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количество учтенных объектов контроля, отнесенных к категориям риска, по каждой из категорий риска, на конец отчетного периода;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общее количество жалоб, поданных контролируемыми лицами в досудебном порядке, за отчетный период.</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center"/>
        <w:rPr/>
      </w:pPr>
      <w:r>
        <w:rPr>
          <w:rFonts w:ascii="Times New Roman" w:hAnsi="Times New Roman"/>
          <w:b w:val="false"/>
          <w:bCs w:val="false"/>
          <w:color w:themeColor="text1" w:val="000000"/>
          <w:sz w:val="28"/>
          <w:szCs w:val="28"/>
        </w:rPr>
        <w:t>Профилактика рисков причинения</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вреда (ущерба) охраняемым законом ценностям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rPr>
      </w:pPr>
      <w:r>
        <w:rPr>
          <w:rFonts w:ascii="Times New Roman" w:hAnsi="Times New Roman"/>
          <w:b w:val="false"/>
          <w:bCs w:val="false"/>
          <w:color w:themeColor="text1" w:val="000000"/>
          <w:sz w:val="28"/>
          <w:szCs w:val="28"/>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rPr>
      </w:pPr>
      <w:r>
        <w:rPr>
          <w:rFonts w:ascii="Times New Roman" w:hAnsi="Times New Roman"/>
          <w:b w:val="false"/>
          <w:bCs w:val="false"/>
          <w:color w:themeColor="text1" w:val="000000"/>
          <w:sz w:val="28"/>
          <w:szCs w:val="28"/>
        </w:rPr>
        <w:t>22. Министерство в соответствии с частью 2 статьи 44 Федерального закона № 248-ФЗ ежегодно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срок до 20 декабря года, предшествующего году проведения профилактических мероприятий.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Программа профилактики рисков причинения вреда размещается на официальном сайте исполнительных органов Камчатского края в сети Интернет.</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23. Министерство осуществляет следующие виды профилактических мероприятий: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 информирование;</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 обобщение правоприменительной практики;</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3) объявление предостережения;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4) консультирование;</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5) профилактический визит.</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24. Министерство вправе проводить профилактические мероприятия, не предусмотренные программой профилактики рисков причинения вреда.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 xml:space="preserve">25. В случае, если при проведении профилактических мероприятий установлено, что объект контроля представляет явную непосредственную угрозу причинения вреда (ущерба) охраняемым законом ценностям или такой вред (ущерб) причинен, должностное лицо Министерства, проводившее профилактическое мероприятие, незамедлительно направляет информацию об этом Министру для принятия решения о проведении контрольных (надзорных) мероприятий, либо в случаях, предусмотренных Федеральным законом </w:t>
        <w:br/>
        <w:t xml:space="preserve">№ 248-ФЗ, принимает меры, указанные в статье 90 Федеральным законом </w:t>
        <w:br/>
        <w:t>№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 xml:space="preserve">26. Информирование контролируемых лиц и иных заинтересованных лиц по вопросам соблюдения обязательных требований осуществляется Министерством в порядке, установленном статьей 46 Федерального закона </w:t>
        <w:br/>
        <w:t>№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27. Министерством ежегодно, не позднее 1 марта года, следующего за отчетным, по итогам обобщения правоприменительной практики подготавливается доклад, содержащий результаты осуществления регионального контроля (надзора) (далее – доклад о правоприменительной практике).</w:t>
      </w:r>
    </w:p>
    <w:p>
      <w:pPr>
        <w:pStyle w:val="Normal"/>
        <w:pBdr/>
        <w:spacing w:lineRule="atLeast" w:line="288" w:before="0" w:after="0"/>
        <w:ind w:firstLine="540" w:left="0" w:right="0"/>
        <w:jc w:val="both"/>
        <w:rPr>
          <w:highlight w:val="white"/>
        </w:rPr>
      </w:pPr>
      <w:r>
        <w:rPr>
          <w:rFonts w:ascii="Times New Roman" w:hAnsi="Times New Roman"/>
          <w:b w:val="false"/>
          <w:bCs w:val="false"/>
          <w:color w:themeColor="text1" w:val="000000"/>
          <w:sz w:val="28"/>
          <w:szCs w:val="28"/>
          <w:highlight w:val="white"/>
        </w:rPr>
        <w:t>Министерство обеспечивает публичное обсуждение проекта доклада о правоприменительной практике.</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Доклад о правоприменительной практике утверждается приказом Министерства в срок до 12 марта года, следующего за отчетным годом, и размещается на официальном сайте не позднее 3 рабочих дней со дня его утверждения.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28. В случае наличия у Министерства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Министерство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Контролируемое лицо в течение 15 рабочих дней со дня получения предостережения вправе подать в Министерство возражение в отношении указанного предостережения (далее – возражение).</w:t>
      </w:r>
    </w:p>
    <w:p>
      <w:pPr>
        <w:pStyle w:val="Normal"/>
        <w:pBdr/>
        <w:spacing w:lineRule="atLeast" w:line="288" w:before="0" w:after="0"/>
        <w:ind w:firstLine="540" w:left="0" w:right="0"/>
        <w:jc w:val="both"/>
        <w:rPr>
          <w:highlight w:val="white"/>
        </w:rPr>
      </w:pPr>
      <w:r>
        <w:rPr>
          <w:rFonts w:ascii="Times New Roman" w:hAnsi="Times New Roman"/>
          <w:b w:val="false"/>
          <w:bCs w:val="false"/>
          <w:color w:themeColor="text1" w:val="000000"/>
          <w:sz w:val="28"/>
          <w:szCs w:val="28"/>
        </w:rPr>
        <w:t>Возражение направляется контролируемым лицом в Министерство на бумажном носителе почтовым отправлением либо в виде электронного документа на официальный адрес электронной почты Министерств</w:t>
      </w:r>
      <w:r>
        <w:rPr>
          <w:rFonts w:ascii="Times New Roman" w:hAnsi="Times New Roman"/>
          <w:b w:val="false"/>
          <w:bCs w:val="false"/>
          <w:color w:themeColor="text1" w:val="000000"/>
          <w:sz w:val="28"/>
          <w:szCs w:val="28"/>
          <w:highlight w:val="white"/>
        </w:rPr>
        <w:t>а или посредством единого портала государственных и муниципальных услуг.</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возражении указываются: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наименование контролируемого лица;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идентификационный номер налогоплательщика контролируемого лица;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дата и номер объявленного предостережения;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случаях невозможности установления из представленных заявителями документов должностного лица, направившего предостережение, возражение направляется заявителю без рассмотрения с указанием причин невозможности рассмотрения и разъяснением порядка надлежащего обращения.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rPr>
      </w:pPr>
      <w:r>
        <w:rPr>
          <w:rFonts w:ascii="Times New Roman" w:hAnsi="Times New Roman"/>
          <w:b w:val="false"/>
          <w:bCs w:val="false"/>
          <w:color w:themeColor="text1" w:val="000000"/>
          <w:sz w:val="28"/>
          <w:szCs w:val="28"/>
        </w:rPr>
        <w:t xml:space="preserve">Министерство по итогам рассмотрения возражения в отношении предостережения направляет ответ контролируемому лицу в течение 15 рабочих дней со дня получения такого возражения. </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По итогам рассмотрения возражения в отношении предостережения принимается одно из следующих решений: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решение об оставлении предостережения без изменения;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решение об отмене предостережения.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29. Консультирование осуществляется в соответствии со статьей 50 Федерального закона № 248-ФЗ в том числе по следующим вопросам:</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предмет регионального контроля (надзора);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применение обязательных требований, содержание и последствия их изменения;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организация и осуществление регионального контроля (надзора);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порядок проведения профилактических мероприятий.</w:t>
      </w:r>
    </w:p>
    <w:p>
      <w:pPr>
        <w:pStyle w:val="Normal"/>
        <w:pBdr/>
        <w:spacing w:lineRule="atLeast" w:line="288" w:before="0" w:after="0"/>
        <w:ind w:firstLine="540" w:left="0" w:right="0"/>
        <w:jc w:val="both"/>
        <w:rPr>
          <w:highlight w:val="white"/>
        </w:rPr>
      </w:pPr>
      <w:r>
        <w:rPr>
          <w:rFonts w:ascii="Times New Roman" w:hAnsi="Times New Roman"/>
          <w:b w:val="false"/>
          <w:bCs w:val="false"/>
          <w:color w:themeColor="text1" w:val="000000"/>
          <w:sz w:val="28"/>
          <w:szCs w:val="28"/>
        </w:rPr>
        <w:t>Обращения контролируемых ли</w:t>
      </w:r>
      <w:r>
        <w:rPr>
          <w:rFonts w:ascii="Times New Roman" w:hAnsi="Times New Roman"/>
          <w:b w:val="false"/>
          <w:bCs w:val="false"/>
          <w:color w:themeColor="text1" w:val="000000"/>
          <w:sz w:val="28"/>
          <w:szCs w:val="28"/>
          <w:highlight w:val="white"/>
        </w:rPr>
        <w:t>ц и их представителей для консультирования могут быть направлены в том числе посредством единого портала государственных и муниципальных услуг.</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Консультирование может осуществляться по телефону, посредством видео-конференц-связи, использования мобильного приложения «Инспектор», на личном приеме или в ходе проведения профилактического мероприятия, контрольного (надзорного) мероприятия.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Консультирование осуществляется без взимания платы.</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случае поступления в Министерство пяти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письменных разъяснений, подписанных должностным лицом Министерства.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30. Профилактический визит проводится должностным лицом Министерства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Министерства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Профилактический визит проводится по инициативе Министерства (обязательный профилактический визит) или по инициативе контролируемого лица.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 xml:space="preserve">Обязательный профилактический визит проводится должностным лицом Министерства в случаях, установленных статьей 25 Федерального закона </w:t>
        <w:br/>
        <w:t>№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Обязательный профилактический визит не предусматривает отказ контролируемого лица от его проведения.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рамках обязательного профилактического визита должностное лицо Министерства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 испытаний.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По окончании проведения обязательного профилактического визита должностным лицом Министерства составляется акт о проведении обязательного профилактического визита (далее – акт обязательного профилактического визита) и принимается решение в соответствии со статьей 90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случае невозможности проведения обязательного профилактического визита и (или) уклонения контролируемого лица от его проведения должностным лицом Службы составляется акт о невозможности проведения обязательного профилактического визита в соответствии с частью 10 статьи 65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случае невозможности проведения обязательного профилактического визита Министр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 в соответствии с частью 11 статьи 65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w:t>
      </w:r>
      <w:r>
        <w:rPr>
          <w:rFonts w:ascii="Times New Roman" w:hAnsi="Times New Roman"/>
          <w:b w:val="false"/>
          <w:bCs w:val="false"/>
          <w:color w:themeColor="text1" w:val="000000"/>
          <w:sz w:val="28"/>
          <w:szCs w:val="28"/>
          <w:vertAlign w:val="superscript"/>
        </w:rPr>
        <w:t>1</w:t>
      </w:r>
      <w:r>
        <w:rPr>
          <w:rFonts w:ascii="Times New Roman" w:hAnsi="Times New Roman"/>
          <w:b w:val="false"/>
          <w:bCs w:val="false"/>
          <w:color w:themeColor="text1" w:val="000000"/>
          <w:sz w:val="28"/>
          <w:szCs w:val="28"/>
        </w:rPr>
        <w:t xml:space="preserve"> Федерального закона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Контролируемое лицо подает заявление о проведении профилактического визит</w:t>
      </w:r>
      <w:r>
        <w:rPr>
          <w:rFonts w:ascii="Times New Roman" w:hAnsi="Times New Roman"/>
          <w:b w:val="false"/>
          <w:bCs w:val="false"/>
          <w:color w:themeColor="text1" w:val="000000"/>
          <w:sz w:val="28"/>
          <w:szCs w:val="28"/>
          <w:highlight w:val="white"/>
        </w:rPr>
        <w:t xml:space="preserve">а посредством единого портала государственных и муниципальных услуг. </w:t>
      </w:r>
      <w:r>
        <w:rPr>
          <w:rFonts w:ascii="Times New Roman" w:hAnsi="Times New Roman"/>
          <w:b w:val="false"/>
          <w:bCs w:val="false"/>
          <w:color w:themeColor="text1" w:val="000000"/>
          <w:sz w:val="28"/>
          <w:szCs w:val="28"/>
        </w:rPr>
        <w:t>Министерство рассматривает заявление в течение 10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В случае принятия решения о проведении профилактического визита Министерство в течение 20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Решение об отказе в проведении профилактического визита принимается в следующих случаях:</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1) от контролируемого лица поступило уведомление об отзыве заявления;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3) в течение года до даты подачи заявления Министерством проведен профилактический визит по ранее поданному заявлению;</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4) заявление содержит нецензурные либо оскорбительные выражения, угрозы жизни, здоровью и имуществу должностных лиц Министерства либо членов их семей;</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5) контролируемое лицо не относится к субъектам малого предпринимательства, не является социально ориентированной некоммерческой организацией либо государственным или муниципальным учреждением.</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Контролируемое лицо вправе отозвать заявление либо направить отказ от проведения профилактического визита, уведомив об этом Министерство не позднее чем за 5 рабочих дней до даты его проведения.</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Разъяснения и рекомендации, полученные контролируемым лицом в ходе профилактического визита, носят рекомендательный характер.</w:t>
      </w:r>
    </w:p>
    <w:p>
      <w:pPr>
        <w:pStyle w:val="Normal"/>
        <w:pBdr/>
        <w:spacing w:lineRule="atLeast" w:line="288" w:before="0" w:after="0"/>
        <w:ind w:firstLine="540" w:left="0" w:right="0"/>
        <w:jc w:val="both"/>
        <w:rPr/>
      </w:pPr>
      <w:r>
        <w:rPr>
          <w:rFonts w:ascii="Times New Roman" w:hAnsi="Times New Roman"/>
          <w:b w:val="false"/>
          <w:bCs w:val="false"/>
          <w:color w:themeColor="text1" w:val="000000"/>
          <w:sz w:val="28"/>
          <w:szCs w:val="28"/>
        </w:rPr>
        <w:t>Предписания об устранении выявленных в ходе профилактического визита нарушений обязательных требований контролируемым лицам не выдаются.</w:t>
      </w:r>
    </w:p>
    <w:p>
      <w:pPr>
        <w:pStyle w:val="Normal"/>
        <w:pBdr/>
        <w:spacing w:lineRule="atLeast" w:line="288" w:before="0" w:after="0"/>
        <w:ind w:firstLine="540" w:left="0" w:right="0"/>
        <w:jc w:val="both"/>
        <w:rPr>
          <w:highlight w:val="none"/>
        </w:rPr>
      </w:pPr>
      <w:r>
        <w:rPr>
          <w:rFonts w:ascii="Times New Roman" w:hAnsi="Times New Roman"/>
          <w:b w:val="false"/>
          <w:bCs w:val="false"/>
          <w:color w:themeColor="text1" w:val="000000"/>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Министерства незамедлительно направляет информацию об этом Министру для принятия решения о проведении контрольных (надзорных) мероприятий.</w:t>
      </w:r>
    </w:p>
    <w:p>
      <w:pPr>
        <w:pStyle w:val="Normal"/>
        <w:pBdr/>
        <w:spacing w:lineRule="atLeast" w:line="288" w:before="0" w:after="0"/>
        <w:ind w:firstLine="540" w:left="0" w:right="0"/>
        <w:jc w:val="both"/>
        <w:rPr/>
      </w:pPr>
      <w:r>
        <w:rPr/>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 </w:t>
      </w:r>
      <w:r>
        <w:rPr>
          <w:rFonts w:ascii="Times New Roman" w:hAnsi="Times New Roman"/>
          <w:b w:val="false"/>
          <w:bCs w:val="false"/>
          <w:color w:themeColor="text1" w:val="000000"/>
          <w:sz w:val="28"/>
          <w:szCs w:val="28"/>
        </w:rPr>
        <w:t>Осуществление регионального контроля (надзора)</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31. Региональный контроль (надзор) осуществляется в соответствии с положениями раздела 5 Федерального закона № 248-ФЗ посредством проведения следующих контрольных (надзорных) мероприятий: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1) при взаимодействии с контролируемым лицом на плановой и внеплановой основе: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инспекционный визит;</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документарная проверка;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выездная проверка;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2) без взаимодействия с контролируемым лицом – наблюдение за соблюдением обязательных требований, выездное обследование.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32. При проведении контрольных (надзорных) мероприятий проверочные листы применяются в соответствии с положениями статьи 53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33. Инспекционный визит и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При проведении инспекционного визита, выездной проверки, наблюдения за соблюдением обязательных требований и выездного обследования для фиксации доказательств нарушения обязательных требований должностным лицом могут использоваться фотосъемка, цифровое изображение (скриншот), аудио-, видеозаписи.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Фотографии, цифровые изображения,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Фотографии, цифровые изображения, аудио- и видеозаписи, используемые для доказательств нарушений обязательных требований, прикладываются к акту контрольного (надзорного) мероприятия (далее – акт).</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(надзорного) мероприятия.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Фиксация нарушений обязательных требований при помощи: </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фотосъемки проводится не менее чем двумя снимками каждого из выявленных нарушений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цифровых изображений проводится не менее чем одним цифровым изображением путем фиксации состояния экрана компьютера, смартфона или иного устройства в конкретный момент времени каждого из выявленных нарушений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ходе записи подробно фиксируются и указываются место и характер выявленного нарушения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Результаты проведения фотосъемки, цифровых изображений, аудио- и видеозаписи являются приложением к акту.</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Использование фотосъемки, цифровых изображений,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государственной и иной охраняемой законом тайне.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34. Внеплановые контрольные (надзорные) мероприятия проводятся в соответствии с положениями статьи 66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Внеплановые контрольные (надзорные)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пунктами 1, 3 - 5, 7 и 9 части 1 и частью 3 статьи 57 Федерального закона </w:t>
        <w:br/>
        <w:t>№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35. Плановые контрольные (надзорные) мероприятия проводятся Министерством на основании плана проведения плановых контрольных (надзорных) мероприятий на очередной календарный год, согласованного с органами прокуратуры.</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36. План проведения плановых контрольных (надзорных) мероприятий формируется Министерством в соответствии с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37. Для проведения контрольного (надзорного) мероприятия, предусматривающего взаимодействие с контролируемым лицом, а также документарной проверки Министерством принимается решение о проведении контрольного (надзорного) мероприятия, в котором указываются сведения, установленные частью 1 статьи 64 Федерального закона № 248-ФЗ, а также перечень нормативных правовых актов, содержащих обязательные требования, соблюдение которых оценивается при осуществлении регионального контроля (надзора).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38. В соответствии с частью 8 статьи 31 Федерального закона № 248-ФЗ индивидуальный предприниматель, являющийся контролируемым лицом, вправе представить в Министерство информацию о невозможности присутствия при проведении контрольного (надзорного) мероприятия в случаях:</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временной нетрудоспособности;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пребывания в командировке, отпуске, на учебе;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наступления обстоятельств непреодолимой силы;</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введения режима повышенной готовности или чрезвычайной ситуации на всей территории Российской Федерации либо на ее части.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 результатам рассмотрения указанной информации проведение контрольного (надзорного) мероприятия переносится Министерством на срок, необходимый для устранения обстоятельств, послуживших поводом для обращения индивидуального предпринимателя.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39.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регионального контроля (надзора) в порядке, установленном статьей 70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ходе инспекционного визита могут совершаться следующие контрольные (надзорные) действия: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осмотр;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опрос;</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получение письменных объяснений;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инструментальное обследование;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регионального контроля (надзора).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Инспекционный визит проводится без предварительного уведомления контролируемого лица.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Срок проведения инспекционного визита в одном месте осуществления деятельности либо на одном объекте контроля (надзора) не может превышать 1 рабочего дня.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Инспекционный визит проводится при наличии оснований, указанных в пунктах 1– 5, 7, 9 части 1 статьи 57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части 1 статьи 57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Осмотр и опрос в ходе инспекционного визита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40. Документарная проверка проводится в соответствии со статьей 72 Федерального закона № 248-ФЗ. </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Документарная проверка проводится по месту нахождения Министерства.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Предметом проверки являются исключительно сведения, содержащиеся в документах контролируемых лиц, устанавливающих их организационно- 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Министерства.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Документы могут представляться контролируемыми лицами с использованием единого портала государственных и муниципальных услуг или мобильного приложения «Инспектор».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ходе документарной проверки рассматриваются документы контролируемого лица, имеющиеся в распоряжении Министерства,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этого контролируемого лица регионального контроля (надзора).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Если имеющихся в распоряжении у Министерства сведений и документов недостаточно, то в ходе документарной проверки могут совершаться следующие контрольные (надзорные) действия: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получение письменных объяснений;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истребование документов;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экспертиза.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Срок проведения документарной проверки не может превышать 10 рабочих дней. На период с момента направления Министерству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Министерство, а также период с момента направления контролируемому лицу информации Министерством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Министерства документах и (или) полученным при осуществлении регионального контроля (надзора), и требования представить необходимые письменные объяснения до момента представления указанных письменных объяснений в Министерство, исчисление срока проведения документарной проверки приостанавливается.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Документарная проверка проводится при наличии оснований, указанных в пунктах 1– 5, 7, 9 части 1 статьи 57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41. Выездная проверка проводится в соответствии со статьей 73 Федерального закона № 248-ФЗ с предварительным уведомлением контролируемого лица не позднее чем за двадцать четыре часа до ее начала.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ходе выездной проверки могут осуществляться следующие контрольные (надзорные) действия: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осмотр;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досмотр;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опрос;</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получение письменных объяснений;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истребование документов;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инструментальное обследование;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испытание;</w:t>
      </w:r>
    </w:p>
    <w:p>
      <w:pPr>
        <w:pStyle w:val="Normal"/>
        <w:pBdr/>
        <w:spacing w:lineRule="atLeast" w:line="288" w:before="0" w:after="0"/>
        <w:ind w:firstLine="540" w:left="0" w:right="0"/>
        <w:jc w:val="both"/>
        <w:rPr>
          <w:highlight w:val="white"/>
          <w14:ligatures w14:val="none"/>
        </w:rPr>
      </w:pPr>
      <w:r>
        <w:rPr>
          <w:rFonts w:ascii="Times New Roman" w:hAnsi="Times New Roman"/>
          <w:b w:val="false"/>
          <w:bCs w:val="false"/>
          <w:color w:themeColor="text1" w:val="000000"/>
          <w:sz w:val="28"/>
          <w:szCs w:val="28"/>
          <w:highlight w:val="white"/>
        </w:rPr>
        <w:t>экспертиза</w:t>
      </w:r>
      <w:r>
        <w:rPr>
          <w:highlight w:val="white"/>
        </w:rPr>
        <w:t>;</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эксперимент.</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Срок проведения выездной проверки не может превышать 10 рабочих дней.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Выездная проверка проводится при наличии оснований, указанных в пунктах 1– 5, 7, 9 части 1 статьи 57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части 1 статьи 57, частью 12 статьи 66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Осмотр, досмотр, опрос, экспертиза и эксперимент в ходе выездной проверки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42. Наблюдение за соблюдением обязательных требований (мониторинг безопасности) проводится в соответствии со статьей 74 Федерального закона </w:t>
        <w:br/>
        <w:t>№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Наблюдение за соблюдением обязательных требований проводится без взаимодействия с контролируемыми лицами путем сбора, анализа данных об объектах регионального контроля (надзора), имеющихся у Министерства,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Министерством й могут быть приняты следующие решения: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1) о проведении внепланового контрольного (надзорного) мероприятия в соответствии со статьей 60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2) об объявлении предостережения.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43. Выездное обследование проводится в порядке, установленном статьей 75 Федерального закона № 248-ФЗ, в целях оценки соблюдения контролируемыми лицами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Выездное обследование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месту нахождения объекта регионального контроля (надзора), при этом не допускается взаимодействие с контролируемым лицом.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ходе выездного обследования на общедоступных (открытых для посещения неограниченным кругом лиц) производственных объектах может совершаться следующее контрольное (надзорное) действие – осмотр.</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Выездное обследование проводится без информирования контролируемого лица.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44. Контрольные (надзорные) действия, совершаемые в ходе контрольных (надзорных) мероприятий, проводятся должностными лицами Министерства в соответствии со статьями 76 - 85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yellow"/>
          <w14:ligatures w14:val="none"/>
        </w:rPr>
      </w:pPr>
      <w:r>
        <w:rPr>
          <w:rFonts w:ascii="Times New Roman" w:hAnsi="Times New Roman"/>
          <w:b w:val="false"/>
          <w:bCs w:val="false"/>
          <w:color w:themeColor="text1" w:val="000000"/>
          <w:sz w:val="28"/>
          <w:szCs w:val="28"/>
          <w:highlight w:val="yellow"/>
          <w14:ligatures w14:val="none"/>
        </w:rPr>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Результаты контрольного (надзорного) мероприятия</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45. По окончании проведения контрольного (надзорного) мероприятия, предусматривающего взаимодействие с контролируемым лицом, составляется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rPr>
        <w:t>46.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w:t>
      </w:r>
      <w:r>
        <w:rPr>
          <w:rFonts w:ascii="Times New Roman" w:hAnsi="Times New Roman"/>
          <w:b w:val="false"/>
          <w:bCs w:val="false"/>
          <w:color w:themeColor="text1" w:val="000000"/>
          <w:sz w:val="28"/>
          <w:szCs w:val="28"/>
          <w:highlight w:val="white"/>
        </w:rPr>
        <w:t xml:space="preserve">инам, установленным Федеральным законом № 248-ФЗ, если иной порядок оформления акта не установлен Федеральным законом </w:t>
        <w:br/>
        <w:t>№ 248-ФЗ или Правительством Российской Федерации.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47.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48. В соответствии с частью 4 статьи 87 № 248-ФЗ 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50. Ознакомление контролируемого лица с результатом контрольного (надзорного) мероприятия осуществляется в соответствии со статьей 88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52. В случае выявления при проведении контрольного (надзорного) мероприятия нарушений контролируемым лицом обязательных требований Министерство обязано:</w:t>
      </w:r>
    </w:p>
    <w:p>
      <w:pPr>
        <w:pStyle w:val="ListParagraph"/>
        <w:numPr>
          <w:ilvl w:val="0"/>
          <w:numId w:val="1"/>
        </w:numPr>
        <w:pBdr/>
        <w:spacing w:lineRule="atLeast" w:line="288" w:before="0" w:after="0"/>
        <w:ind w:firstLine="540" w:left="0" w:right="0"/>
        <w:contextualSpacing/>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после оформления акта выдать контролируемому лицу предписание об устранении выявленных нарушений обязательных требований с указанием разумных сроков их устранения, в соответствии со статьей </w:t>
      </w:r>
      <w:r>
        <w:rPr>
          <w:rFonts w:ascii="Times New Roman" w:hAnsi="Times New Roman"/>
          <w:b w:val="false"/>
          <w:bCs w:val="false"/>
          <w:color w:themeColor="text1" w:val="000000"/>
          <w:sz w:val="28"/>
          <w:szCs w:val="28"/>
          <w:highlight w:val="white"/>
        </w:rPr>
        <w:t>90</w:t>
      </w:r>
      <w:r>
        <w:rPr>
          <w:rFonts w:ascii="Times New Roman" w:hAnsi="Times New Roman"/>
          <w:b w:val="false"/>
          <w:bCs w:val="false"/>
          <w:color w:themeColor="text1" w:val="000000"/>
          <w:sz w:val="28"/>
          <w:szCs w:val="28"/>
          <w:highlight w:val="white"/>
          <w:vertAlign w:val="superscript"/>
        </w:rPr>
        <w:t>1</w:t>
      </w:r>
      <w:r>
        <w:rPr>
          <w:rFonts w:ascii="Times New Roman" w:hAnsi="Times New Roman"/>
          <w:b w:val="false"/>
          <w:bCs w:val="false"/>
          <w:color w:themeColor="text1" w:val="000000"/>
          <w:sz w:val="28"/>
          <w:szCs w:val="28"/>
          <w:highlight w:val="white"/>
        </w:rPr>
        <w:t xml:space="preserve"> </w:t>
      </w:r>
      <w:r>
        <w:rPr>
          <w:rFonts w:ascii="Times New Roman" w:hAnsi="Times New Roman"/>
          <w:b w:val="false"/>
          <w:bCs w:val="false"/>
          <w:color w:themeColor="text1" w:val="000000"/>
          <w:sz w:val="28"/>
          <w:szCs w:val="28"/>
        </w:rPr>
        <w:t>Федерального закона № 248-ФЗ;</w:t>
      </w:r>
    </w:p>
    <w:p>
      <w:pPr>
        <w:pStyle w:val="ListParagraph"/>
        <w:numPr>
          <w:ilvl w:val="0"/>
          <w:numId w:val="1"/>
        </w:numPr>
        <w:pBdr/>
        <w:spacing w:lineRule="atLeast" w:line="288" w:before="0" w:after="0"/>
        <w:ind w:firstLine="540" w:left="0" w:right="0"/>
        <w:contextualSpacing/>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53. Контролируемое лицо, в отношении которого выявлены нарушения обязательных требований, вправе подать ходатайство о заключении с Министерством соглашения о надлежащем устранении выявленных нарушений обязательных требований (далее – соглашение), в соответствии со статьей 90</w:t>
      </w:r>
      <w:r>
        <w:rPr>
          <w:rFonts w:ascii="Times New Roman" w:hAnsi="Times New Roman"/>
          <w:b w:val="false"/>
          <w:bCs w:val="false"/>
          <w:color w:themeColor="text1" w:val="000000"/>
          <w:sz w:val="28"/>
          <w:szCs w:val="28"/>
          <w:vertAlign w:val="superscript"/>
        </w:rPr>
        <w:t>2</w:t>
      </w:r>
      <w:r>
        <w:rPr>
          <w:rFonts w:ascii="Times New Roman" w:hAnsi="Times New Roman"/>
          <w:b w:val="false"/>
          <w:bCs w:val="false"/>
          <w:color w:themeColor="text1" w:val="000000"/>
          <w:sz w:val="28"/>
          <w:szCs w:val="28"/>
        </w:rPr>
        <w:t xml:space="preserve"> Федерального закона № 248-ФЗ, которое подлежит согласованию с органами прокуратуры.</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После заключения соглашения Министерство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В случае неисполнения контролируемым лицом соглашения Министерство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Министерство принимает решение об отмене предписания об устранении выявленных нарушений обязательных требований.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По истечении срока исполнения соглашения Министерство принимает решение о признании соглашения исполненным или неисполненным.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Органы прокуратуры или Министерство, заключившие соглашение с контролируемым лицом,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Министерством нового соглашения не ранее чем через пять лет с момента расторжения соглашения.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54. На основании актов Министерство формирует ежегодный отчет с выводами:</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 выполнении либо невыполнении контролируемым лицом инвестиционной программы;</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 xml:space="preserve">о наличии либо об отсутствии выявленных рисков причинения вреда (ущерба) в рамках организации и осуществления регионального государственного контроля (надзора) за инвестиционными программами; </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о необходимости корректировки инвестиционной программы в соответствии с результатами контрольных (надзорных) мероприятий.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Содержание и выводы отчета, указанного в настоящем пункте, должны соответствовать содержанию и выводам доклада о правоприменительной практике.</w:t>
      </w:r>
    </w:p>
    <w:p>
      <w:pPr>
        <w:pStyle w:val="Normal"/>
        <w:pBdr/>
        <w:spacing w:lineRule="atLeast" w:line="288" w:before="0" w:after="0"/>
        <w:ind w:firstLine="540" w:left="0" w:right="0"/>
        <w:jc w:val="both"/>
        <w:rPr>
          <w:highlight w:val="none"/>
          <w14:ligatures w14:val="none"/>
        </w:rPr>
      </w:pPr>
      <w:r>
        <w:rPr>
          <w:rFonts w:ascii="Times New Roman" w:hAnsi="Times New Roman"/>
          <w:b w:val="false"/>
          <w:bCs w:val="false"/>
          <w:color w:themeColor="text1" w:val="000000"/>
          <w:sz w:val="28"/>
          <w:szCs w:val="28"/>
        </w:rPr>
        <w:t>55. В случае если в ходе контрольных (надзорных) мероприятий выявлены факты, свидетельствующие о возможном нецелевом расходовании средств бюджетов бюджетной системы Российской Федерации, соответствующая информация направляется органом государственного контроля (надзора) в органы, уполномоченные на осуществление контроля за их расходованием, не позднее 3 рабочих дней со дня выявления факта, свидетельствующего о возможном нецелевом расходовании средств бюджетов бюджетной системы Российской Федерации.</w:t>
      </w:r>
    </w:p>
    <w:p>
      <w:pPr>
        <w:pStyle w:val="Normal"/>
        <w:pBdr/>
        <w:spacing w:lineRule="atLeast" w:line="288" w:before="0" w:after="0"/>
        <w:ind w:firstLine="540" w:left="0" w:right="0"/>
        <w:jc w:val="both"/>
        <w:rPr>
          <w:highlight w:val="none"/>
          <w14:ligatures w14:val="none"/>
        </w:rPr>
      </w:pPr>
      <w:r>
        <w:rPr>
          <w14:ligatures w14:val="none"/>
        </w:rPr>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Межведомственное взаимодействие при осуществлении регионального контроля (надзора)</w:t>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56. Межведомственное взаимодействие при осуществлении регионального контроля (надзора) осуществляется в порядке, установленном статьей 20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57. При осуществлении межведомственного взаимодействия в ходе регионального контроля (надзора) органы государственного контроля (надзора) осуществляют совместное планирование и проведение профилактических мероприятий и контрольных (надзорных) мероприятий, запрашивают документы и (или) сведения, относящиеся к предмету профилактических мероприятий и контрольных (надзорных) мероприятий, у иных органов либо подведомственных указанным органам организаций, в распоряжении которых находятся эти документы и (или) сведения, и в месячный срок информируют о результатах профилактических мероприятий и контрольных (надзорных) мероприятий Министерство,  иные исполнительные органы Камчатского края и органы местного самоуправления муниципальных образований Камчатского края, на территориях которых проведены профилактические мероприятия и контрольные (надзорные) мероприятия.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58. Органы государственного контроля (надзора)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регионального контроля (надзора), в том числе по вопросам совместного проведения профилактических мероприятий и контрольных (надзорных) мероприятий.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center"/>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Досудебный порядок подачи жалобы</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59. Контролируемые лица, права и законные интересы которых, по их мнению, были непосредственно нарушены в рамках осуществления регионального контроля (надзора), имеют право на досудебное обжалование:</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1) решений о проведении контрольных (надзорных) мероприятий и обязательных профилактических визитов.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2) актов контрольных (надзорных) мероприятий и обязательных профилактических визитов, предписаний об устранении выявленных нарушений;</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3) действий (бездействия) Министра (заместителей Министра), должностных лиц Министерства в рамках контрольных (надзорных) мероприятий и обязательных профилактических визитов;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4) решений об отнесении объектов контроля к соответствующей категории риска;</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5) решений об отказе в проведении профилактических визитов по заявлениям контролируемых лиц;</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6) иных решений, принимаемых Министерством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rPr>
        <w:t>60. Жалоба подается контролируемым лицом в М</w:t>
      </w:r>
      <w:r>
        <w:rPr>
          <w:rFonts w:ascii="Times New Roman" w:hAnsi="Times New Roman"/>
          <w:b w:val="false"/>
          <w:bCs w:val="false"/>
          <w:color w:themeColor="text1" w:val="000000"/>
          <w:sz w:val="28"/>
          <w:szCs w:val="28"/>
          <w:highlight w:val="white"/>
        </w:rPr>
        <w:t>инистерство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61. При обжаловании решений Министерства (за исключением решений, подписанных Министром), действий (бездействия) должностных лиц Министерства, жалоба рассматривается Министром.</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62. При обжаловании решений Министерства, подписанных Министром, действий (бездействия) Министра, жалоба рассматривается коллегиальным органом, созданным Министерством из числа его должностных лиц для рассмотрения жалоб.</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63. Жалоба на решение Министерства, действия (бездействие) его должностных лиц может быть подана в течение 30 дней со дня, когда контролируемое лицо узнало или должно было узнать о нарушении своих прав.</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white"/>
          <w14:ligatures w14:val="none"/>
        </w:rPr>
      </w:pPr>
      <w:r>
        <w:rPr>
          <w:rFonts w:ascii="Times New Roman" w:hAnsi="Times New Roman"/>
          <w:b w:val="false"/>
          <w:bCs w:val="false"/>
          <w:color w:themeColor="text1" w:val="000000"/>
          <w:sz w:val="28"/>
          <w:szCs w:val="28"/>
          <w:highlight w:val="white"/>
        </w:rPr>
        <w:t>64. Жалоба на предписание Министерства может быть подана в течение 10 рабочих дней с даты получения контролируемым лицом предписания.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highlight w:val="white"/>
        </w:rPr>
        <w:t>65. Жалоба подлежит рассмотрению в течение 15 рабочих дней со дня ее регистрации в информационной системе (подсистеме государственн</w:t>
      </w:r>
      <w:r>
        <w:rPr>
          <w:rFonts w:ascii="Times New Roman" w:hAnsi="Times New Roman"/>
          <w:b w:val="false"/>
          <w:bCs w:val="false"/>
          <w:color w:themeColor="text1" w:val="000000"/>
          <w:sz w:val="28"/>
          <w:szCs w:val="28"/>
        </w:rPr>
        <w:t>ой информационной системы) досудебного обжалования.</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rPr>
        <w:t>66. 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pPr>
        <w:pStyle w:val="Normal"/>
        <w:pBdr/>
        <w:spacing w:lineRule="atLeast" w:line="288" w:before="0" w:after="0"/>
        <w:ind w:firstLine="540" w:left="0" w:right="0"/>
        <w:jc w:val="both"/>
        <w:rPr>
          <w:highlight w:val="none"/>
          <w14:ligatures w14:val="none"/>
        </w:rPr>
      </w:pPr>
      <w:r>
        <w:rPr>
          <w:rFonts w:ascii="Times New Roman" w:hAnsi="Times New Roman"/>
          <w:b w:val="false"/>
          <w:bCs w:val="false"/>
          <w:color w:themeColor="text1" w:val="000000"/>
          <w:sz w:val="28"/>
          <w:szCs w:val="28"/>
        </w:rPr>
        <w:t>67. Досудебное обжалование осуществляется в порядке, предусмотренном главой 9 Федерального закона № 248-ФЗ.</w:t>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pBdr/>
        <w:spacing w:lineRule="atLeast" w:line="288" w:before="0" w:after="0"/>
        <w:ind w:firstLine="540" w:left="0" w:right="0"/>
        <w:jc w:val="both"/>
        <w:rPr>
          <w:rFonts w:ascii="Times New Roman" w:hAnsi="Times New Roman"/>
          <w:b w:val="false"/>
          <w:bCs w:val="false"/>
          <w:color w:themeColor="text1" w:val="000000"/>
          <w:sz w:val="28"/>
          <w:szCs w:val="28"/>
          <w:highlight w:val="none"/>
          <w14:ligatures w14:val="none"/>
        </w:rPr>
      </w:pPr>
      <w:r>
        <w:rPr>
          <w:rFonts w:ascii="Times New Roman" w:hAnsi="Times New Roman"/>
          <w:b w:val="false"/>
          <w:bCs w:val="false"/>
          <w:color w:themeColor="text1" w:val="000000"/>
          <w:sz w:val="28"/>
          <w:szCs w:val="28"/>
          <w14:ligatures w14:val="none"/>
        </w:rPr>
      </w:r>
    </w:p>
    <w:p>
      <w:pPr>
        <w:pStyle w:val="Normal"/>
        <w:spacing w:lineRule="auto" w:line="240" w:before="0" w:after="0"/>
        <w:ind w:hanging="0" w:left="5102" w:right="0"/>
        <w:jc w:val="both"/>
        <w:rPr>
          <w:rFonts w:ascii="Times New Roman" w:hAnsi="Times New Roman"/>
          <w:sz w:val="28"/>
          <w:szCs w:val="28"/>
          <w:highlight w:val="none"/>
        </w:rPr>
      </w:pPr>
      <w:r>
        <w:rPr>
          <w:rFonts w:ascii="Times New Roman" w:hAnsi="Times New Roman"/>
          <w:sz w:val="28"/>
          <w:szCs w:val="28"/>
        </w:rPr>
        <w:t xml:space="preserve">Приложение к Положению о региональном государственном контроле (надзоре) за реализацией инвестиционных программ организаций, осуществляющих регулируемые виды деятельности в сфере теплоснабжения на территории Камчатского края </w:t>
      </w:r>
    </w:p>
    <w:p>
      <w:pPr>
        <w:pStyle w:val="Normal"/>
        <w:spacing w:lineRule="auto" w:line="240" w:before="0" w:after="0"/>
        <w:ind w:hanging="0" w:left="5102" w:right="0"/>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hanging="0" w:left="0" w:right="0"/>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hanging="0" w:left="0" w:right="0"/>
        <w:jc w:val="center"/>
        <w:rPr/>
      </w:pPr>
      <w:r>
        <w:rPr>
          <w:rFonts w:ascii="Times New Roman" w:hAnsi="Times New Roman"/>
          <w:sz w:val="28"/>
          <w:szCs w:val="28"/>
        </w:rPr>
        <w:t>КРИТЕРИИ</w:t>
      </w:r>
    </w:p>
    <w:p>
      <w:pPr>
        <w:pStyle w:val="Normal"/>
        <w:spacing w:lineRule="auto" w:line="240" w:before="0" w:after="0"/>
        <w:ind w:hanging="0" w:left="0" w:right="0"/>
        <w:jc w:val="center"/>
        <w:rPr/>
      </w:pPr>
      <w:r>
        <w:rPr>
          <w:rFonts w:ascii="Times New Roman" w:hAnsi="Times New Roman"/>
          <w:sz w:val="28"/>
          <w:szCs w:val="28"/>
        </w:rPr>
        <w:t>отнесения объектов регионального государственного контроля (надзора)</w:t>
      </w:r>
    </w:p>
    <w:p>
      <w:pPr>
        <w:pStyle w:val="Normal"/>
        <w:spacing w:lineRule="auto" w:line="240" w:before="0" w:after="0"/>
        <w:ind w:hanging="0" w:left="0" w:right="0"/>
        <w:jc w:val="center"/>
        <w:rPr/>
      </w:pPr>
      <w:r>
        <w:rPr>
          <w:rFonts w:ascii="Times New Roman" w:hAnsi="Times New Roman"/>
          <w:sz w:val="28"/>
          <w:szCs w:val="28"/>
        </w:rPr>
        <w:t>за реализацией инвестиционных программ организаций, осуществляющих</w:t>
      </w:r>
    </w:p>
    <w:p>
      <w:pPr>
        <w:pStyle w:val="Normal"/>
        <w:spacing w:lineRule="auto" w:line="240" w:before="0" w:after="0"/>
        <w:ind w:hanging="0" w:left="0" w:right="0"/>
        <w:jc w:val="center"/>
        <w:rPr/>
      </w:pPr>
      <w:r>
        <w:rPr>
          <w:rFonts w:ascii="Times New Roman" w:hAnsi="Times New Roman"/>
          <w:sz w:val="28"/>
          <w:szCs w:val="28"/>
        </w:rPr>
        <w:t>регулируемые виды деятельности в сфере теплоснабжения (за исключением</w:t>
      </w:r>
    </w:p>
    <w:p>
      <w:pPr>
        <w:pStyle w:val="Normal"/>
        <w:spacing w:lineRule="auto" w:line="240" w:before="0" w:after="0"/>
        <w:ind w:hanging="0" w:left="0" w:right="0"/>
        <w:jc w:val="center"/>
        <w:rPr/>
      </w:pPr>
      <w:r>
        <w:rPr>
          <w:rFonts w:ascii="Times New Roman" w:hAnsi="Times New Roman"/>
          <w:sz w:val="28"/>
          <w:szCs w:val="28"/>
        </w:rPr>
        <w:t>таких программ, утверждаемых в соответствии с законодательством</w:t>
      </w:r>
    </w:p>
    <w:p>
      <w:pPr>
        <w:pStyle w:val="Normal"/>
        <w:spacing w:lineRule="auto" w:line="240" w:before="0" w:after="0"/>
        <w:ind w:hanging="0" w:left="0" w:right="0"/>
        <w:jc w:val="center"/>
        <w:rPr/>
      </w:pPr>
      <w:r>
        <w:rPr>
          <w:rFonts w:ascii="Times New Roman" w:hAnsi="Times New Roman"/>
          <w:sz w:val="28"/>
          <w:szCs w:val="28"/>
        </w:rPr>
        <w:t>Российской Федерации об электроэнергетике), в Камчатском крае к</w:t>
      </w:r>
    </w:p>
    <w:p>
      <w:pPr>
        <w:pStyle w:val="Normal"/>
        <w:spacing w:lineRule="auto" w:line="240" w:before="0" w:after="0"/>
        <w:ind w:hanging="0" w:left="0" w:right="0"/>
        <w:jc w:val="center"/>
        <w:rPr>
          <w:rFonts w:ascii="Times New Roman" w:hAnsi="Times New Roman"/>
          <w:sz w:val="28"/>
          <w:szCs w:val="28"/>
          <w:highlight w:val="none"/>
        </w:rPr>
      </w:pPr>
      <w:r>
        <w:rPr>
          <w:rFonts w:ascii="Times New Roman" w:hAnsi="Times New Roman"/>
          <w:sz w:val="28"/>
          <w:szCs w:val="28"/>
        </w:rPr>
        <w:t>категориям риска причинения вреда (ущерба)</w:t>
      </w:r>
    </w:p>
    <w:p>
      <w:pPr>
        <w:pStyle w:val="Normal"/>
        <w:spacing w:lineRule="auto" w:line="240" w:before="0" w:after="0"/>
        <w:ind w:hanging="0" w:left="0" w:right="0"/>
        <w:jc w:val="center"/>
        <w:rPr>
          <w:rFonts w:ascii="Times New Roman" w:hAnsi="Times New Roman"/>
          <w:sz w:val="28"/>
          <w:szCs w:val="28"/>
        </w:rPr>
      </w:pPr>
      <w:r>
        <w:rPr>
          <w:rFonts w:ascii="Times New Roman" w:hAnsi="Times New Roman"/>
          <w:sz w:val="28"/>
          <w:szCs w:val="28"/>
        </w:rPr>
      </w:r>
    </w:p>
    <w:tbl>
      <w:tblPr>
        <w:tblStyle w:val="905"/>
        <w:tblpPr w:vertAnchor="page" w:horzAnchor="page" w:leftFromText="181" w:rightFromText="181" w:tblpX="1457" w:tblpY="7463"/>
        <w:tblW w:w="9707"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635"/>
        <w:gridCol w:w="4962"/>
        <w:gridCol w:w="4110"/>
      </w:tblGrid>
      <w:tr>
        <w:trPr>
          <w:trHeight w:val="410" w:hRule="atLeast"/>
        </w:trPr>
        <w:tc>
          <w:tcPr>
            <w:tcW w:w="635" w:type="dxa"/>
            <w:tcBorders/>
          </w:tcPr>
          <w:p>
            <w:pPr>
              <w:pStyle w:val="Normal"/>
              <w:spacing w:lineRule="auto" w:line="240" w:before="0" w:after="0"/>
              <w:jc w:val="both"/>
              <w:rPr>
                <w:rFonts w:ascii="Times New Roman" w:hAnsi="Times New Roman"/>
                <w:sz w:val="28"/>
                <w:szCs w:val="28"/>
                <w:highlight w:val="none"/>
              </w:rPr>
            </w:pPr>
            <w:r>
              <w:rPr>
                <w:rFonts w:ascii="Times New Roman" w:hAnsi="Times New Roman"/>
                <w:kern w:val="0"/>
                <w:sz w:val="28"/>
                <w:szCs w:val="28"/>
              </w:rPr>
              <w:t xml:space="preserve">№ </w:t>
            </w:r>
            <w:r>
              <w:rPr>
                <w:rFonts w:ascii="Times New Roman" w:hAnsi="Times New Roman"/>
                <w:kern w:val="0"/>
                <w:sz w:val="28"/>
                <w:szCs w:val="28"/>
              </w:rPr>
              <w:t>п/п</w:t>
            </w:r>
          </w:p>
        </w:tc>
        <w:tc>
          <w:tcPr>
            <w:tcW w:w="4962"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Критерии отнесения объектов контроля</w:t>
            </w:r>
          </w:p>
        </w:tc>
        <w:tc>
          <w:tcPr>
            <w:tcW w:w="4110"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Количество баллов</w:t>
            </w:r>
          </w:p>
        </w:tc>
      </w:tr>
      <w:tr>
        <w:trPr>
          <w:trHeight w:val="529"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1</w:t>
            </w:r>
          </w:p>
        </w:tc>
        <w:tc>
          <w:tcPr>
            <w:tcW w:w="4962"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2</w:t>
            </w:r>
          </w:p>
        </w:tc>
        <w:tc>
          <w:tcPr>
            <w:tcW w:w="4110"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3</w:t>
            </w:r>
          </w:p>
        </w:tc>
      </w:tr>
      <w:tr>
        <w:trPr>
          <w:trHeight w:val="572"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1.</w:t>
            </w:r>
          </w:p>
        </w:tc>
        <w:tc>
          <w:tcPr>
            <w:tcW w:w="4962" w:type="dxa"/>
            <w:tcBorders/>
          </w:tcPr>
          <w:p>
            <w:pPr>
              <w:pStyle w:val="Normal"/>
              <w:spacing w:before="0" w:after="160"/>
              <w:rPr>
                <w:kern w:val="0"/>
              </w:rPr>
            </w:pPr>
            <w:r>
              <w:rPr>
                <w:rFonts w:ascii="Times New Roman" w:hAnsi="Times New Roman"/>
                <w:kern w:val="0"/>
                <w:sz w:val="28"/>
                <w:szCs w:val="28"/>
              </w:rPr>
              <w:t>Показатель вероятности несоблюдения контролируемым лицом обязательных требований, определяемый суммарным количеством баллов по каждому из следующих показателей:</w:t>
            </w:r>
          </w:p>
        </w:tc>
        <w:tc>
          <w:tcPr>
            <w:tcW w:w="4110"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r>
          </w:p>
          <w:p>
            <w:pPr>
              <w:pStyle w:val="Normal"/>
              <w:spacing w:lineRule="auto" w:line="240" w:before="0" w:after="0"/>
              <w:jc w:val="both"/>
              <w:rPr>
                <w:rFonts w:ascii="Times New Roman" w:hAnsi="Times New Roman"/>
                <w:sz w:val="28"/>
                <w:szCs w:val="28"/>
                <w:highlight w:val="none"/>
              </w:rPr>
            </w:pPr>
            <w:r>
              <w:rPr>
                <w:kern w:val="0"/>
              </w:rPr>
            </w:r>
          </w:p>
        </w:tc>
      </w:tr>
      <w:tr>
        <w:trPr>
          <w:trHeight w:val="498"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2.</w:t>
            </w:r>
          </w:p>
        </w:tc>
        <w:tc>
          <w:tcPr>
            <w:tcW w:w="4962" w:type="dxa"/>
            <w:tcBorders/>
          </w:tcPr>
          <w:p>
            <w:pPr>
              <w:pStyle w:val="Normal"/>
              <w:spacing w:lineRule="auto" w:line="240" w:before="0" w:after="0"/>
              <w:jc w:val="both"/>
              <w:rPr>
                <w:kern w:val="0"/>
              </w:rPr>
            </w:pPr>
            <w:r>
              <w:rPr>
                <w:rFonts w:ascii="Times New Roman" w:hAnsi="Times New Roman"/>
                <w:kern w:val="0"/>
                <w:sz w:val="28"/>
                <w:szCs w:val="28"/>
              </w:rPr>
              <w:t>наличие фактов аварийных ситуаций на источниках тепловой энергии, тепловых сетях, возникших в результате</w:t>
            </w:r>
          </w:p>
          <w:p>
            <w:pPr>
              <w:pStyle w:val="Normal"/>
              <w:spacing w:lineRule="auto" w:line="240" w:before="0" w:after="0"/>
              <w:jc w:val="both"/>
              <w:rPr>
                <w:rFonts w:ascii="Times New Roman" w:hAnsi="Times New Roman"/>
                <w:highlight w:val="none"/>
              </w:rPr>
            </w:pPr>
            <w:r>
              <w:rPr>
                <w:rFonts w:ascii="Times New Roman" w:hAnsi="Times New Roman"/>
                <w:kern w:val="0"/>
                <w:sz w:val="28"/>
                <w:szCs w:val="28"/>
              </w:rPr>
              <w:t>несоблюдения контролируемым лицом обязательных требований, в течение одного года, предшествующего году принятия решения о присвоении (изменении) категории риска &lt;*&gt;</w:t>
            </w:r>
          </w:p>
        </w:tc>
        <w:tc>
          <w:tcPr>
            <w:tcW w:w="4110" w:type="dxa"/>
            <w:tcBorders/>
          </w:tcPr>
          <w:p>
            <w:pPr>
              <w:pStyle w:val="Normal"/>
              <w:spacing w:before="0" w:after="160"/>
              <w:rPr>
                <w:kern w:val="0"/>
              </w:rPr>
            </w:pPr>
            <w:r>
              <w:rPr>
                <w:rFonts w:ascii="Times New Roman" w:hAnsi="Times New Roman"/>
                <w:kern w:val="0"/>
                <w:sz w:val="28"/>
                <w:szCs w:val="28"/>
              </w:rPr>
              <w:t>10 баллов</w:t>
            </w:r>
          </w:p>
        </w:tc>
      </w:tr>
      <w:tr>
        <w:trPr>
          <w:trHeight w:val="782"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3.</w:t>
            </w:r>
          </w:p>
        </w:tc>
        <w:tc>
          <w:tcPr>
            <w:tcW w:w="4962" w:type="dxa"/>
            <w:tcBorders/>
          </w:tcPr>
          <w:p>
            <w:pPr>
              <w:pStyle w:val="Normal"/>
              <w:spacing w:lineRule="auto" w:line="240" w:before="0" w:after="0"/>
              <w:jc w:val="both"/>
              <w:rPr>
                <w:kern w:val="0"/>
              </w:rPr>
            </w:pPr>
            <w:r>
              <w:rPr>
                <w:rFonts w:ascii="Times New Roman" w:hAnsi="Times New Roman"/>
                <w:kern w:val="0"/>
                <w:sz w:val="28"/>
                <w:szCs w:val="28"/>
              </w:rPr>
              <w:t>наличие длительных (более 54 часов) остановок источников</w:t>
            </w:r>
          </w:p>
          <w:p>
            <w:pPr>
              <w:pStyle w:val="Normal"/>
              <w:spacing w:lineRule="auto" w:line="240" w:before="0" w:after="0"/>
              <w:jc w:val="both"/>
              <w:rPr>
                <w:rFonts w:ascii="Times New Roman" w:hAnsi="Times New Roman"/>
                <w:highlight w:val="none"/>
              </w:rPr>
            </w:pPr>
            <w:r>
              <w:rPr>
                <w:rFonts w:ascii="Times New Roman" w:hAnsi="Times New Roman"/>
                <w:kern w:val="0"/>
                <w:sz w:val="28"/>
                <w:szCs w:val="28"/>
              </w:rPr>
              <w:t>тепловой энергии, возникших в результате несоблюдения контролируемым лицом обязательных требований, в течение одного года, предшествующего году принятия решения о присвоении (изменении) категории риска &lt;*&gt;</w:t>
            </w:r>
          </w:p>
        </w:tc>
        <w:tc>
          <w:tcPr>
            <w:tcW w:w="4110" w:type="dxa"/>
            <w:tcBorders/>
          </w:tcPr>
          <w:p>
            <w:pPr>
              <w:pStyle w:val="Normal"/>
              <w:spacing w:lineRule="auto" w:line="240" w:before="0" w:after="0"/>
              <w:jc w:val="left"/>
              <w:rPr>
                <w:rFonts w:ascii="Times New Roman" w:hAnsi="Times New Roman"/>
                <w:highlight w:val="none"/>
              </w:rPr>
            </w:pPr>
            <w:r>
              <w:rPr>
                <w:rFonts w:ascii="Times New Roman" w:hAnsi="Times New Roman"/>
                <w:kern w:val="0"/>
                <w:sz w:val="28"/>
                <w:szCs w:val="28"/>
              </w:rPr>
              <w:t>10 баллов</w:t>
            </w:r>
          </w:p>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r>
          </w:p>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r>
          </w:p>
        </w:tc>
      </w:tr>
      <w:tr>
        <w:trPr>
          <w:trHeight w:val="1974"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3.1</w:t>
            </w:r>
          </w:p>
        </w:tc>
        <w:tc>
          <w:tcPr>
            <w:tcW w:w="4962" w:type="dxa"/>
            <w:tcBorders/>
          </w:tcPr>
          <w:p>
            <w:pPr>
              <w:pStyle w:val="Normal"/>
              <w:spacing w:lineRule="auto" w:line="240" w:before="0" w:after="0"/>
              <w:jc w:val="both"/>
              <w:rPr>
                <w:rFonts w:ascii="Times New Roman" w:hAnsi="Times New Roman"/>
                <w:sz w:val="28"/>
                <w:szCs w:val="28"/>
                <w:highlight w:val="none"/>
                <w14:ligatures w14:val="none"/>
              </w:rPr>
            </w:pPr>
            <w:r>
              <w:rPr>
                <w:rFonts w:ascii="Times New Roman" w:hAnsi="Times New Roman"/>
                <w:kern w:val="0"/>
                <w:sz w:val="28"/>
                <w:szCs w:val="28"/>
              </w:rPr>
              <w:t>наличие предписаний об устранении выявленных нарушений обязательных требований, выданных Министерством в течение 2 лет, предшествующих году принятия решения о присвоении (изменении) категории риска</w:t>
            </w:r>
          </w:p>
        </w:tc>
        <w:tc>
          <w:tcPr>
            <w:tcW w:w="4110" w:type="dxa"/>
            <w:tcBorders/>
          </w:tcPr>
          <w:p>
            <w:pPr>
              <w:pStyle w:val="Normal"/>
              <w:spacing w:lineRule="auto" w:line="240" w:before="0" w:after="0"/>
              <w:jc w:val="left"/>
              <w:rPr>
                <w:rFonts w:ascii="Times New Roman" w:hAnsi="Times New Roman"/>
                <w:sz w:val="28"/>
                <w:szCs w:val="28"/>
                <w:highlight w:val="none"/>
                <w14:ligatures w14:val="none"/>
              </w:rPr>
            </w:pPr>
            <w:r>
              <w:rPr>
                <w:rFonts w:ascii="Times New Roman" w:hAnsi="Times New Roman"/>
                <w:kern w:val="0"/>
                <w:sz w:val="28"/>
                <w:szCs w:val="28"/>
              </w:rPr>
              <w:t>1 балл за каждое выданное предписание</w:t>
            </w:r>
          </w:p>
        </w:tc>
      </w:tr>
      <w:tr>
        <w:trPr>
          <w:trHeight w:val="2399"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3.2</w:t>
            </w:r>
          </w:p>
        </w:tc>
        <w:tc>
          <w:tcPr>
            <w:tcW w:w="4962" w:type="dxa"/>
            <w:tcBorders/>
          </w:tcPr>
          <w:p>
            <w:pPr>
              <w:pStyle w:val="Normal"/>
              <w:spacing w:lineRule="auto" w:line="240" w:before="0" w:after="0"/>
              <w:jc w:val="both"/>
              <w:rPr>
                <w:rFonts w:ascii="Times New Roman" w:hAnsi="Times New Roman" w:eastAsia="Times New Roman" w:cs="Times New Roman"/>
                <w:color w:val="0000FF"/>
                <w:sz w:val="28"/>
                <w:szCs w:val="28"/>
                <w:highlight w:val="none"/>
                <w14:ligatures w14:val="none"/>
              </w:rPr>
            </w:pPr>
            <w:r>
              <w:rPr>
                <w:rFonts w:ascii="Times New Roman" w:hAnsi="Times New Roman"/>
                <w:kern w:val="0"/>
                <w:sz w:val="28"/>
                <w:szCs w:val="28"/>
              </w:rPr>
              <w:t>наличие предостережений о недопустимости нарушения обязательных требований, выданных Министерством в течение 1 года, предшествующих году принятия решения о присвоении (изменении) категории риска</w:t>
            </w:r>
          </w:p>
        </w:tc>
        <w:tc>
          <w:tcPr>
            <w:tcW w:w="4110" w:type="dxa"/>
            <w:tcBorders/>
          </w:tcPr>
          <w:p>
            <w:pPr>
              <w:pStyle w:val="Normal"/>
              <w:spacing w:lineRule="auto" w:line="240" w:before="0" w:after="0"/>
              <w:jc w:val="left"/>
              <w:rPr>
                <w:highlight w:val="none"/>
              </w:rPr>
            </w:pPr>
            <w:r>
              <w:rPr>
                <w:rFonts w:ascii="Times New Roman" w:hAnsi="Times New Roman"/>
                <w:kern w:val="0"/>
                <w:sz w:val="28"/>
                <w:szCs w:val="28"/>
              </w:rPr>
              <w:t>0,5 балла за каждое выданное предостережение</w:t>
            </w:r>
          </w:p>
        </w:tc>
      </w:tr>
      <w:tr>
        <w:trPr>
          <w:trHeight w:val="1094" w:hRule="atLeast"/>
        </w:trPr>
        <w:tc>
          <w:tcPr>
            <w:tcW w:w="635" w:type="dxa"/>
            <w:tcBorders/>
          </w:tcPr>
          <w:p>
            <w:pPr>
              <w:pStyle w:val="Normal"/>
              <w:spacing w:lineRule="auto" w:line="240" w:before="0" w:after="0"/>
              <w:jc w:val="center"/>
              <w:rPr>
                <w:rFonts w:ascii="Times New Roman" w:hAnsi="Times New Roman"/>
                <w:sz w:val="28"/>
                <w:szCs w:val="28"/>
                <w:highlight w:val="none"/>
              </w:rPr>
            </w:pPr>
            <w:r>
              <w:rPr>
                <w:rFonts w:ascii="Times New Roman" w:hAnsi="Times New Roman"/>
                <w:kern w:val="0"/>
                <w:sz w:val="28"/>
                <w:szCs w:val="28"/>
              </w:rPr>
              <w:t>3.3</w:t>
            </w:r>
          </w:p>
        </w:tc>
        <w:tc>
          <w:tcPr>
            <w:tcW w:w="4962" w:type="dxa"/>
            <w:tcBorders/>
          </w:tcPr>
          <w:p>
            <w:pPr>
              <w:pStyle w:val="Normal"/>
              <w:pBdr/>
              <w:spacing w:lineRule="auto" w:line="240" w:before="0" w:after="0"/>
              <w:jc w:val="both"/>
              <w:rPr>
                <w:rFonts w:ascii="Times New Roman" w:hAnsi="Times New Roman"/>
                <w:szCs w:val="28"/>
                <w:highlight w:val="none"/>
                <w14:ligatures w14:val="none"/>
              </w:rPr>
            </w:pPr>
            <w:r>
              <w:rPr>
                <w:rFonts w:ascii="Times New Roman" w:hAnsi="Times New Roman"/>
                <w:kern w:val="0"/>
                <w:sz w:val="28"/>
                <w:szCs w:val="28"/>
              </w:rPr>
              <w:t>наличие вступившего в законную силу постановления о привлечении к административной ответственности в течение 2 лет, предшествующих году принятия решения о присвоении (изменении) категории риска по делам об административных правонарушениях в отношении юридического лица, его должностных лиц, индивидуального предпринимателя за совершение административных правонарушений, предусмотренных статьей 19.4.1, частью 1 статьи 19.5 Кодекса Российской Федерации об административных правонарушениях, выявленных в результате осуществления регионального контроля (надзора) за реализацией инвестиционных программ</w:t>
            </w:r>
          </w:p>
        </w:tc>
        <w:tc>
          <w:tcPr>
            <w:tcW w:w="4110" w:type="dxa"/>
            <w:tcBorders/>
          </w:tcPr>
          <w:p>
            <w:pPr>
              <w:pStyle w:val="Normal"/>
              <w:spacing w:lineRule="auto" w:line="240" w:before="0" w:after="0"/>
              <w:jc w:val="left"/>
              <w:rPr>
                <w:rFonts w:ascii="Times New Roman" w:hAnsi="Times New Roman"/>
                <w:sz w:val="28"/>
                <w:szCs w:val="28"/>
                <w:highlight w:val="none"/>
                <w14:ligatures w14:val="none"/>
              </w:rPr>
            </w:pPr>
            <w:r>
              <w:rPr>
                <w:rFonts w:ascii="Times New Roman" w:hAnsi="Times New Roman"/>
                <w:kern w:val="0"/>
                <w:sz w:val="28"/>
                <w:szCs w:val="28"/>
              </w:rPr>
              <w:t>2 балла за каждое вступившее в законную силу постановление</w:t>
            </w:r>
          </w:p>
        </w:tc>
      </w:tr>
    </w:tbl>
    <w:p>
      <w:pPr>
        <w:pStyle w:val="Normal"/>
        <w:spacing w:lineRule="auto" w:line="240" w:before="0" w:after="0"/>
        <w:ind w:hanging="0" w:left="0" w:right="0"/>
        <w:jc w:val="both"/>
        <w:rPr>
          <w:rFonts w:ascii="Times New Roman" w:hAnsi="Times New Roman"/>
          <w:sz w:val="24"/>
          <w:szCs w:val="24"/>
          <w:highlight w:val="none"/>
        </w:rPr>
      </w:pPr>
      <w:r>
        <w:rPr>
          <w:rFonts w:ascii="Times New Roman" w:hAnsi="Times New Roman"/>
          <w:sz w:val="24"/>
          <w:szCs w:val="24"/>
        </w:rPr>
      </w:r>
    </w:p>
    <w:p>
      <w:pPr>
        <w:pStyle w:val="Normal"/>
        <w:spacing w:lineRule="auto" w:line="240" w:before="0" w:after="0"/>
        <w:ind w:hanging="0" w:left="0" w:right="0"/>
        <w:jc w:val="both"/>
        <w:rPr>
          <w:rFonts w:ascii="Times New Roman" w:hAnsi="Times New Roman"/>
          <w:sz w:val="24"/>
          <w:szCs w:val="24"/>
          <w:highlight w:val="none"/>
        </w:rPr>
      </w:pPr>
      <w:r>
        <w:rPr>
          <w:rFonts w:ascii="Times New Roman" w:hAnsi="Times New Roman"/>
          <w:sz w:val="24"/>
          <w:szCs w:val="24"/>
        </w:rPr>
        <w:t>&lt;*&gt; В случае отсутствия в Министерстве информации по указанному критерию в расчет суммы баллов по указанному критерию берется 0 баллов.</w:t>
      </w:r>
    </w:p>
    <w:p>
      <w:pPr>
        <w:pStyle w:val="Normal"/>
        <w:spacing w:lineRule="auto" w:line="240" w:before="0" w:after="0"/>
        <w:ind w:hanging="0" w:left="0" w:right="0"/>
        <w:jc w:val="both"/>
        <w:rPr>
          <w:rFonts w:ascii="Times New Roman" w:hAnsi="Times New Roman"/>
          <w:sz w:val="28"/>
          <w:szCs w:val="28"/>
          <w:highlight w:val="none"/>
        </w:rPr>
      </w:pPr>
      <w:r>
        <w:rPr>
          <w:rFonts w:ascii="Times New Roman" w:hAnsi="Times New Roman"/>
          <w:sz w:val="28"/>
          <w:szCs w:val="28"/>
        </w:rPr>
      </w:r>
    </w:p>
    <w:p>
      <w:pPr>
        <w:pStyle w:val="Normal"/>
        <w:spacing w:lineRule="auto" w:line="240" w:before="0" w:after="0"/>
        <w:ind w:firstLine="708" w:left="0" w:right="0"/>
        <w:jc w:val="both"/>
        <w:rPr>
          <w:rFonts w:ascii="Times New Roman" w:hAnsi="Times New Roman"/>
          <w:sz w:val="28"/>
          <w:szCs w:val="28"/>
          <w:highlight w:val="none"/>
        </w:rPr>
      </w:pPr>
      <w:r>
        <w:rPr>
          <w:rFonts w:ascii="Times New Roman" w:hAnsi="Times New Roman"/>
          <w:sz w:val="28"/>
          <w:szCs w:val="28"/>
        </w:rPr>
        <w:t>Отнесение объектов контроля к определенной категории риска осуществляется на основании суммы баллов, присвоенных по результатам сопоставления с критериями, указанными в настоящем приложении, в следующем порядке:</w:t>
      </w:r>
    </w:p>
    <w:p>
      <w:pPr>
        <w:pStyle w:val="Normal"/>
        <w:spacing w:lineRule="auto" w:line="240" w:before="0" w:after="0"/>
        <w:ind w:firstLine="708"/>
        <w:jc w:val="both"/>
        <w:rPr>
          <w:rFonts w:ascii="Times New Roman" w:hAnsi="Times New Roman"/>
          <w:highlight w:val="none"/>
        </w:rPr>
      </w:pPr>
      <w:r>
        <w:rPr>
          <w:rFonts w:ascii="Times New Roman" w:hAnsi="Times New Roman"/>
          <w:sz w:val="28"/>
          <w:szCs w:val="28"/>
        </w:rPr>
        <w:t xml:space="preserve">Высокий риск – от 45 баллов; </w:t>
      </w:r>
    </w:p>
    <w:p>
      <w:pPr>
        <w:pStyle w:val="Normal"/>
        <w:spacing w:lineRule="auto" w:line="240" w:before="0" w:after="0"/>
        <w:ind w:firstLine="708" w:left="0" w:right="0"/>
        <w:jc w:val="both"/>
        <w:rPr>
          <w:rFonts w:ascii="Times New Roman" w:hAnsi="Times New Roman"/>
          <w:sz w:val="28"/>
          <w:szCs w:val="28"/>
          <w:highlight w:val="none"/>
        </w:rPr>
      </w:pPr>
      <w:r>
        <w:rPr>
          <w:rFonts w:ascii="Times New Roman" w:hAnsi="Times New Roman"/>
          <w:sz w:val="28"/>
          <w:szCs w:val="28"/>
        </w:rPr>
        <w:t>Средний риск – от 25 до 44 баллов;</w:t>
      </w:r>
    </w:p>
    <w:p>
      <w:pPr>
        <w:pStyle w:val="Normal"/>
        <w:spacing w:lineRule="auto" w:line="240" w:before="0" w:after="0"/>
        <w:ind w:firstLine="708" w:left="0" w:right="0"/>
        <w:jc w:val="both"/>
        <w:rPr>
          <w:rFonts w:ascii="Times New Roman" w:hAnsi="Times New Roman"/>
          <w:sz w:val="28"/>
          <w:szCs w:val="28"/>
          <w:highlight w:val="none"/>
        </w:rPr>
      </w:pPr>
      <w:r>
        <w:rPr>
          <w:rFonts w:ascii="Times New Roman" w:hAnsi="Times New Roman"/>
          <w:sz w:val="28"/>
          <w:szCs w:val="28"/>
        </w:rPr>
        <w:t>Низкий риск – до 24 баллов.</w:t>
      </w:r>
    </w:p>
    <w:p>
      <w:pPr>
        <w:pStyle w:val="Normal"/>
        <w:spacing w:lineRule="auto" w:line="240" w:before="0" w:after="0"/>
        <w:ind w:firstLine="708" w:left="0" w:right="0"/>
        <w:jc w:val="both"/>
        <w:rPr>
          <w:rFonts w:ascii="Times New Roman" w:hAnsi="Times New Roman"/>
          <w:highlight w:val="none"/>
        </w:rPr>
      </w:pPr>
      <w:r>
        <w:rPr>
          <w:rFonts w:ascii="Times New Roman" w:hAnsi="Times New Roman"/>
          <w:sz w:val="28"/>
          <w:szCs w:val="28"/>
        </w:rPr>
        <w:t>При наличии у контролируемого лица нескольких инвестиционных программ каждая инвестиционная программа оценивается по критериям, указанным в настоящем приложении. Итоговое отнесение объекта контроля к определенной категории риска осуществляется Министерством по наибольшему из критериев, полученных по каждой инвестиционной программе.</w:t>
      </w:r>
    </w:p>
    <w:p>
      <w:pPr>
        <w:pStyle w:val="Normal"/>
        <w:spacing w:lineRule="auto" w:line="240" w:before="0" w:after="0"/>
        <w:ind w:firstLine="708" w:left="0" w:right="0"/>
        <w:jc w:val="both"/>
        <w:rPr>
          <w:rFonts w:ascii="Times New Roman" w:hAnsi="Times New Roman"/>
          <w:sz w:val="28"/>
          <w:szCs w:val="28"/>
          <w:highlight w:val="none"/>
        </w:rPr>
      </w:pPr>
      <w:r>
        <w:rPr>
          <w:rFonts w:ascii="Times New Roman" w:hAnsi="Times New Roman"/>
          <w:sz w:val="28"/>
          <w:szCs w:val="28"/>
        </w:rPr>
        <w:t>Показатель добросовестности.</w:t>
      </w:r>
    </w:p>
    <w:p>
      <w:pPr>
        <w:pStyle w:val="Normal"/>
        <w:spacing w:lineRule="auto" w:line="240" w:before="0" w:after="0"/>
        <w:ind w:firstLine="708" w:left="0" w:right="0"/>
        <w:jc w:val="both"/>
        <w:rPr/>
      </w:pPr>
      <w:r>
        <w:rPr>
          <w:rFonts w:ascii="Times New Roman" w:hAnsi="Times New Roman"/>
          <w:sz w:val="28"/>
          <w:szCs w:val="28"/>
        </w:rPr>
        <w:t>Деятельность объектов контроля, подлежащая отнесению в соответствии с настоящим приложением к категориям высокого и среднего риска, подлежит отнесению к категориям среднего и низкого риска соответственно при наличии в совокупности следующих условий:</w:t>
      </w:r>
    </w:p>
    <w:p>
      <w:pPr>
        <w:pStyle w:val="Normal"/>
        <w:spacing w:lineRule="auto" w:line="240" w:before="0" w:after="0"/>
        <w:ind w:firstLine="708" w:left="0" w:right="0"/>
        <w:jc w:val="both"/>
        <w:rPr/>
      </w:pPr>
      <w:r>
        <w:rPr>
          <w:rFonts w:ascii="Times New Roman" w:hAnsi="Times New Roman"/>
          <w:sz w:val="28"/>
          <w:szCs w:val="28"/>
        </w:rPr>
        <w:t>1) отсутствие в течение 2 лет на день принятия решения о присвоении (изменении) категории риска вступившего в законную силу постановления о назначении административного наказания контролируемому лицу, его должностным лицам за совершение административного правонарушения, ответственность за которое предусмотрена статьями 19.4.1, частью 1 статьи 19.5 Кодекса Российской Федерации об административных правонарушениях, выявленного в результате осуществления регионального контроля (надзора)</w:t>
      </w:r>
      <w:r>
        <w:rPr>
          <w:rFonts w:ascii="Times New Roman" w:hAnsi="Times New Roman"/>
          <w:sz w:val="28"/>
          <w:szCs w:val="28"/>
        </w:rPr>
        <w:t xml:space="preserve"> за реализацией инвестиционных программ</w:t>
      </w:r>
      <w:r>
        <w:rPr>
          <w:rFonts w:ascii="Times New Roman" w:hAnsi="Times New Roman"/>
          <w:sz w:val="28"/>
          <w:szCs w:val="28"/>
        </w:rPr>
        <w:t>;</w:t>
      </w:r>
    </w:p>
    <w:p>
      <w:pPr>
        <w:pStyle w:val="Normal"/>
        <w:spacing w:lineRule="auto" w:line="240" w:before="0" w:after="0"/>
        <w:ind w:firstLine="708" w:left="0" w:right="0"/>
        <w:jc w:val="both"/>
        <w:rPr>
          <w:rFonts w:ascii="Times New Roman" w:hAnsi="Times New Roman"/>
          <w:sz w:val="28"/>
          <w:szCs w:val="28"/>
        </w:rPr>
      </w:pPr>
      <w:r>
        <w:rPr>
          <w:rFonts w:ascii="Times New Roman" w:hAnsi="Times New Roman"/>
          <w:sz w:val="28"/>
          <w:szCs w:val="28"/>
        </w:rPr>
        <w:t>2) отсутствие в течение 2 лет на день принятия решения о присвоении (изменении) категории риска предписаний об устранении выявленных нарушений обязательных требований, выданных контролируемому лицу по результатам контрольных (надзорных) мероприятий и обязательных профилактических визитов;</w:t>
      </w:r>
    </w:p>
    <w:p>
      <w:pPr>
        <w:pStyle w:val="Normal"/>
        <w:spacing w:lineRule="auto" w:line="240" w:before="0" w:after="0"/>
        <w:ind w:firstLine="708" w:left="0" w:right="0"/>
        <w:jc w:val="both"/>
        <w:rPr>
          <w:rFonts w:ascii="Times New Roman" w:hAnsi="Times New Roman"/>
          <w:sz w:val="28"/>
          <w:szCs w:val="28"/>
        </w:rPr>
      </w:pPr>
      <w:r>
        <w:rPr>
          <w:rFonts w:ascii="Times New Roman" w:hAnsi="Times New Roman"/>
          <w:sz w:val="28"/>
          <w:szCs w:val="28"/>
        </w:rPr>
        <w:t>3) отсутствие в течение 1 года на день принятия решения о присвоении (изменении) категории риска предостережений о недопустимости нарушения обязательных требований законодательства о государственном регулировании цен (тарифов), выданных контролируемому лицу по результатам рассмотрения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а также мероприятий по контролю, осуществляемых без взаимодействия с контролируемыми лицами.</w:t>
      </w:r>
    </w:p>
    <w:p>
      <w:pPr>
        <w:pStyle w:val="Normal"/>
        <w:spacing w:lineRule="auto" w:line="240" w:before="0" w:after="0"/>
        <w:ind w:firstLine="708" w:left="0" w:right="0"/>
        <w:jc w:val="both"/>
        <w:rPr/>
      </w:pPr>
      <w:r>
        <w:rPr>
          <w:rFonts w:ascii="Times New Roman" w:hAnsi="Times New Roman"/>
          <w:sz w:val="28"/>
          <w:szCs w:val="28"/>
        </w:rPr>
        <w:t>В случае если в отношении объектов контроля в течение последних 2 лет на день принятия решения о присвоении (изменении) категории риска не проводились контрольные (надзорные) мероприятия и обязательные профилактические визиты, положения показателя добросовестности не применяются.</w:t>
      </w:r>
    </w:p>
    <w:p>
      <w:pPr>
        <w:pStyle w:val="Normal"/>
        <w:spacing w:lineRule="auto" w:line="240" w:before="0" w:after="0"/>
        <w:ind w:hanging="0" w:left="5102" w:right="0"/>
        <w:jc w:val="both"/>
        <w:rPr>
          <w:rFonts w:ascii="Times New Roman" w:hAnsi="Times New Roman"/>
          <w:sz w:val="28"/>
          <w:szCs w:val="28"/>
        </w:rPr>
      </w:pPr>
      <w:r>
        <w:rPr>
          <w:rFonts w:ascii="Times New Roman" w:hAnsi="Times New Roman"/>
          <w:sz w:val="28"/>
          <w:szCs w:val="28"/>
        </w:rPr>
      </w:r>
    </w:p>
    <w:sectPr>
      <w:headerReference w:type="default" r:id="rId4"/>
      <w:type w:val="nextPage"/>
      <w:pgSz w:w="11906" w:h="16838"/>
      <w:pgMar w:left="1418" w:right="851" w:gutter="0" w:header="567"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XO Thames">
    <w:charset w:val="01"/>
    <w:family w:val="roman"/>
    <w:pitch w:val="variable"/>
  </w:font>
  <w:font w:name="Arial">
    <w:charset w:val="01"/>
    <w:family w:val="roman"/>
    <w:pitch w:val="variable"/>
  </w:font>
  <w:font w:name="Open Sans">
    <w:charset w:val="01"/>
    <w:family w:val="roman"/>
    <w:pitch w:val="variable"/>
  </w:font>
  <w:font w:name="Times New Roman">
    <w:charset w:val="01"/>
    <w:family w:val="roman"/>
    <w:pitch w:val="variable"/>
  </w:font>
  <w:font w:name="Segoe UI">
    <w:charset w:val="01"/>
    <w:family w:val="roman"/>
    <w:pitch w:val="variable"/>
  </w:font>
  <w:font w:name="Open Sans">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25</w:t>
    </w:r>
    <w:r>
      <w:rPr>
        <w:sz w:val="28"/>
        <w:szCs w:val="28"/>
        <w:rFonts w:ascii="Times New Roman" w:hAnsi="Times New Roman"/>
      </w:rPr>
      <w:fldChar w:fldCharType="end"/>
    </w:r>
  </w:p>
  <w:p>
    <w:pPr>
      <w:pStyle w:val="Normal"/>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asciiTheme="minorHAnsi" w:hAnsiTheme="minorHAnsi"/>
        <w:color w:val="000000"/>
        <w:sz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link w:val="1"/>
    <w:qFormat/>
    <w:pPr>
      <w:widowControl/>
      <w:bidi w:val="0"/>
      <w:spacing w:lineRule="auto" w:line="264"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Heading1">
    <w:name w:val="Heading 1"/>
    <w:link w:val="111"/>
    <w:uiPriority w:val="9"/>
    <w:qFormat/>
    <w:pPr>
      <w:widowControl/>
      <w:bidi w:val="0"/>
      <w:spacing w:lineRule="auto" w:line="264" w:before="120" w:after="120"/>
      <w:jc w:val="both"/>
      <w:outlineLvl w:val="0"/>
    </w:pPr>
    <w:rPr>
      <w:rFonts w:ascii="XO Thames" w:hAnsi="XO Thames" w:eastAsia="Times New Roman" w:cs="Times New Roman"/>
      <w:b/>
      <w:color w:val="000000"/>
      <w:kern w:val="0"/>
      <w:sz w:val="32"/>
      <w:szCs w:val="20"/>
      <w:lang w:val="ru-RU" w:eastAsia="ru-RU" w:bidi="ar-SA"/>
    </w:rPr>
  </w:style>
  <w:style w:type="paragraph" w:styleId="Heading2">
    <w:name w:val="Heading 2"/>
    <w:link w:val="211"/>
    <w:uiPriority w:val="9"/>
    <w:qFormat/>
    <w:pPr>
      <w:widowControl/>
      <w:bidi w:val="0"/>
      <w:spacing w:lineRule="auto" w:line="264" w:before="120" w:after="120"/>
      <w:jc w:val="both"/>
      <w:outlineLvl w:val="1"/>
    </w:pPr>
    <w:rPr>
      <w:rFonts w:ascii="XO Thames" w:hAnsi="XO Thames" w:eastAsia="Times New Roman" w:cs="Times New Roman"/>
      <w:b/>
      <w:color w:val="000000"/>
      <w:kern w:val="0"/>
      <w:sz w:val="28"/>
      <w:szCs w:val="20"/>
      <w:lang w:val="ru-RU" w:eastAsia="ru-RU" w:bidi="ar-SA"/>
    </w:rPr>
  </w:style>
  <w:style w:type="paragraph" w:styleId="Heading3">
    <w:name w:val="Heading 3"/>
    <w:link w:val="31"/>
    <w:uiPriority w:val="9"/>
    <w:qFormat/>
    <w:pPr>
      <w:widowControl/>
      <w:bidi w:val="0"/>
      <w:spacing w:lineRule="auto" w:line="264" w:before="120" w:after="120"/>
      <w:jc w:val="both"/>
      <w:outlineLvl w:val="2"/>
    </w:pPr>
    <w:rPr>
      <w:rFonts w:ascii="XO Thames" w:hAnsi="XO Thames" w:eastAsia="Times New Roman" w:cs="Times New Roman"/>
      <w:b/>
      <w:color w:val="000000"/>
      <w:kern w:val="0"/>
      <w:sz w:val="26"/>
      <w:szCs w:val="20"/>
      <w:lang w:val="ru-RU" w:eastAsia="ru-RU" w:bidi="ar-SA"/>
    </w:rPr>
  </w:style>
  <w:style w:type="paragraph" w:styleId="Heading4">
    <w:name w:val="Heading 4"/>
    <w:link w:val="411"/>
    <w:uiPriority w:val="9"/>
    <w:qFormat/>
    <w:pPr>
      <w:widowControl/>
      <w:bidi w:val="0"/>
      <w:spacing w:lineRule="auto" w:line="264" w:before="120" w:after="120"/>
      <w:jc w:val="both"/>
      <w:outlineLvl w:val="3"/>
    </w:pPr>
    <w:rPr>
      <w:rFonts w:ascii="XO Thames" w:hAnsi="XO Thames" w:eastAsia="Times New Roman" w:cs="Times New Roman"/>
      <w:b/>
      <w:color w:val="000000"/>
      <w:kern w:val="0"/>
      <w:sz w:val="24"/>
      <w:szCs w:val="20"/>
      <w:lang w:val="ru-RU" w:eastAsia="ru-RU" w:bidi="ar-SA"/>
    </w:rPr>
  </w:style>
  <w:style w:type="paragraph" w:styleId="Heading5">
    <w:name w:val="Heading 5"/>
    <w:link w:val="51"/>
    <w:uiPriority w:val="9"/>
    <w:qFormat/>
    <w:pPr>
      <w:widowControl/>
      <w:bidi w:val="0"/>
      <w:spacing w:lineRule="auto" w:line="264" w:before="120" w:after="120"/>
      <w:jc w:val="both"/>
      <w:outlineLvl w:val="4"/>
    </w:pPr>
    <w:rPr>
      <w:rFonts w:ascii="XO Thames" w:hAnsi="XO Thames" w:eastAsia="Times New Roman" w:cs="Times New Roman"/>
      <w:b/>
      <w:color w:val="000000"/>
      <w:kern w:val="0"/>
      <w:sz w:val="22"/>
      <w:szCs w:val="20"/>
      <w:lang w:val="ru-RU" w:eastAsia="ru-RU" w:bidi="ar-SA"/>
    </w:rPr>
  </w:style>
  <w:style w:type="paragraph" w:styleId="Heading6">
    <w:name w:val="Heading 6"/>
    <w:basedOn w:val="Normal"/>
    <w:link w:val="62"/>
    <w:uiPriority w:val="9"/>
    <w:qFormat/>
    <w:pPr>
      <w:keepNext w:val="true"/>
      <w:keepLines/>
      <w:spacing w:before="320" w:after="200"/>
      <w:outlineLvl w:val="5"/>
    </w:pPr>
    <w:rPr>
      <w:rFonts w:ascii="Arial" w:hAnsi="Arial"/>
      <w:b/>
    </w:rPr>
  </w:style>
  <w:style w:type="paragraph" w:styleId="Heading7">
    <w:name w:val="Heading 7"/>
    <w:basedOn w:val="Normal"/>
    <w:link w:val="7"/>
    <w:uiPriority w:val="9"/>
    <w:qFormat/>
    <w:pPr>
      <w:keepNext w:val="true"/>
      <w:keepLines/>
      <w:spacing w:before="320" w:after="200"/>
      <w:outlineLvl w:val="6"/>
    </w:pPr>
    <w:rPr>
      <w:rFonts w:ascii="Arial" w:hAnsi="Arial"/>
      <w:b/>
      <w:i/>
    </w:rPr>
  </w:style>
  <w:style w:type="paragraph" w:styleId="Heading8">
    <w:name w:val="Heading 8"/>
    <w:basedOn w:val="Normal"/>
    <w:link w:val="81"/>
    <w:uiPriority w:val="9"/>
    <w:qFormat/>
    <w:pPr>
      <w:keepNext w:val="true"/>
      <w:keepLines/>
      <w:spacing w:before="320" w:after="200"/>
      <w:outlineLvl w:val="7"/>
    </w:pPr>
    <w:rPr>
      <w:rFonts w:ascii="Arial" w:hAnsi="Arial"/>
      <w:i/>
    </w:rPr>
  </w:style>
  <w:style w:type="paragraph" w:styleId="Heading9">
    <w:name w:val="Heading 9"/>
    <w:basedOn w:val="Normal"/>
    <w:link w:val="9"/>
    <w:uiPriority w:val="9"/>
    <w:qFormat/>
    <w:pPr>
      <w:keepNext w:val="true"/>
      <w:keepLines/>
      <w:spacing w:before="320" w:after="200"/>
      <w:outlineLvl w:val="8"/>
    </w:pPr>
    <w:rPr>
      <w:rFonts w:ascii="Arial" w:hAnsi="Arial"/>
      <w:i/>
      <w:sz w:val="21"/>
    </w:rPr>
  </w:style>
  <w:style w:type="character" w:styleId="DefaultParagraphFont" w:default="1">
    <w:name w:val="Default Paragraph Font"/>
    <w:uiPriority w:val="1"/>
    <w:semiHidden/>
    <w:unhideWhenUsed/>
    <w:qFormat/>
    <w:rPr/>
  </w:style>
  <w:style w:type="character" w:styleId="1" w:customStyle="1">
    <w:name w:val="Обычный1"/>
    <w:link w:val="116"/>
    <w:qFormat/>
    <w:rPr/>
  </w:style>
  <w:style w:type="character" w:styleId="3" w:customStyle="1">
    <w:name w:val="Оглавление 3 Знак"/>
    <w:link w:val="321"/>
    <w:qFormat/>
    <w:rPr>
      <w:rFonts w:ascii="XO Thames" w:hAnsi="XO Thames"/>
      <w:sz w:val="28"/>
    </w:rPr>
  </w:style>
  <w:style w:type="character" w:styleId="4" w:customStyle="1">
    <w:name w:val="Заголовок 4 Знак"/>
    <w:link w:val="421"/>
    <w:qFormat/>
    <w:rPr>
      <w:rFonts w:ascii="XO Thames" w:hAnsi="XO Thames"/>
      <w:b/>
      <w:sz w:val="24"/>
    </w:rPr>
  </w:style>
  <w:style w:type="character" w:styleId="21" w:customStyle="1">
    <w:name w:val="Оглавление 2 Знак1"/>
    <w:qFormat/>
    <w:rPr>
      <w:rFonts w:ascii="XO Thames" w:hAnsi="XO Thames"/>
      <w:color w:val="000000"/>
      <w:sz w:val="28"/>
    </w:rPr>
  </w:style>
  <w:style w:type="character" w:styleId="IntenseQuoteChar" w:customStyle="1">
    <w:name w:val="Intense Quote Char"/>
    <w:link w:val="IntenseQuoteChar1"/>
    <w:qFormat/>
    <w:rPr>
      <w:i/>
    </w:rPr>
  </w:style>
  <w:style w:type="character" w:styleId="Style5" w:customStyle="1">
    <w:name w:val="Заголовок"/>
    <w:basedOn w:val="1"/>
    <w:link w:val="1111"/>
    <w:qFormat/>
    <w:rPr>
      <w:rFonts w:ascii="Open Sans" w:hAnsi="Open Sans"/>
      <w:color w:val="000000"/>
      <w:sz w:val="28"/>
    </w:rPr>
  </w:style>
  <w:style w:type="character" w:styleId="41" w:customStyle="1">
    <w:name w:val="Оглавление 4 Знак1"/>
    <w:qFormat/>
    <w:rPr>
      <w:rFonts w:ascii="XO Thames" w:hAnsi="XO Thames"/>
      <w:color w:val="000000"/>
      <w:sz w:val="28"/>
    </w:rPr>
  </w:style>
  <w:style w:type="character" w:styleId="7" w:customStyle="1">
    <w:name w:val="Заголовок 7 Знак"/>
    <w:basedOn w:val="1"/>
    <w:qFormat/>
    <w:rPr>
      <w:rFonts w:ascii="Arial" w:hAnsi="Arial"/>
      <w:b/>
      <w:i/>
      <w:color w:val="000000"/>
      <w:sz w:val="22"/>
    </w:rPr>
  </w:style>
  <w:style w:type="character" w:styleId="Heading3Char" w:customStyle="1">
    <w:name w:val="Heading 3 Char"/>
    <w:basedOn w:val="DefaultParagraphFont"/>
    <w:link w:val="Heading3Char1"/>
    <w:qFormat/>
    <w:rPr>
      <w:rFonts w:ascii="Arial" w:hAnsi="Arial"/>
      <w:sz w:val="30"/>
    </w:rPr>
  </w:style>
  <w:style w:type="character" w:styleId="61" w:customStyle="1">
    <w:name w:val="Оглавление 6 Знак1"/>
    <w:qFormat/>
    <w:rPr>
      <w:rFonts w:ascii="XO Thames" w:hAnsi="XO Thames"/>
      <w:color w:val="000000"/>
      <w:sz w:val="28"/>
    </w:rPr>
  </w:style>
  <w:style w:type="character" w:styleId="71" w:customStyle="1">
    <w:name w:val="Оглавление 7 Знак1"/>
    <w:qFormat/>
    <w:rPr>
      <w:rFonts w:ascii="XO Thames" w:hAnsi="XO Thames"/>
      <w:color w:val="000000"/>
      <w:sz w:val="28"/>
    </w:rPr>
  </w:style>
  <w:style w:type="character" w:styleId="11" w:customStyle="1">
    <w:name w:val="Указатель1"/>
    <w:basedOn w:val="Style5"/>
    <w:qFormat/>
    <w:rPr>
      <w:rFonts w:ascii="Open Sans" w:hAnsi="Open Sans"/>
      <w:color w:val="000000"/>
      <w:sz w:val="28"/>
    </w:rPr>
  </w:style>
  <w:style w:type="character" w:styleId="Style6" w:customStyle="1">
    <w:name w:val="Выделенная цитата Знак"/>
    <w:basedOn w:val="1"/>
    <w:link w:val="IntenseQuote"/>
    <w:qFormat/>
    <w:rPr>
      <w:rFonts w:ascii="Calibri" w:hAnsi="Calibri" w:asciiTheme="minorHAnsi" w:hAnsiTheme="minorHAnsi"/>
      <w:i/>
      <w:color w:val="000000"/>
      <w:sz w:val="22"/>
    </w:rPr>
  </w:style>
  <w:style w:type="character" w:styleId="31" w:customStyle="1">
    <w:name w:val="Заголовок 3 Знак1"/>
    <w:qFormat/>
    <w:rPr>
      <w:rFonts w:ascii="XO Thames" w:hAnsi="XO Thames"/>
      <w:b/>
      <w:color w:val="000000"/>
      <w:sz w:val="26"/>
    </w:rPr>
  </w:style>
  <w:style w:type="character" w:styleId="Style7" w:customStyle="1">
    <w:name w:val="Название Знак"/>
    <w:link w:val="24"/>
    <w:qFormat/>
    <w:rPr>
      <w:rFonts w:ascii="XO Thames" w:hAnsi="XO Thames"/>
      <w:b/>
      <w:caps/>
      <w:sz w:val="40"/>
    </w:rPr>
  </w:style>
  <w:style w:type="character" w:styleId="72" w:customStyle="1">
    <w:name w:val="Оглавление 7 Знак"/>
    <w:link w:val="721"/>
    <w:qFormat/>
    <w:rPr>
      <w:rFonts w:ascii="XO Thames" w:hAnsi="XO Thames"/>
      <w:sz w:val="28"/>
    </w:rPr>
  </w:style>
  <w:style w:type="character" w:styleId="12" w:customStyle="1">
    <w:name w:val="Оглавление 1 Знак"/>
    <w:link w:val="121"/>
    <w:qFormat/>
    <w:rPr>
      <w:rFonts w:ascii="XO Thames" w:hAnsi="XO Thames"/>
      <w:b/>
      <w:sz w:val="28"/>
    </w:rPr>
  </w:style>
  <w:style w:type="character" w:styleId="SubtitleChar" w:customStyle="1">
    <w:name w:val="Subtitle Char"/>
    <w:basedOn w:val="DefaultParagraphFont"/>
    <w:link w:val="SubtitleChar1"/>
    <w:qFormat/>
    <w:rPr>
      <w:sz w:val="24"/>
    </w:rPr>
  </w:style>
  <w:style w:type="character" w:styleId="HeaderChar" w:customStyle="1">
    <w:name w:val="Header Char"/>
    <w:basedOn w:val="DefaultParagraphFont"/>
    <w:link w:val="HeaderChar1"/>
    <w:qFormat/>
    <w:rPr/>
  </w:style>
  <w:style w:type="character" w:styleId="Style8" w:customStyle="1">
    <w:name w:val="Название объекта Знак"/>
    <w:basedOn w:val="1"/>
    <w:qFormat/>
    <w:rPr>
      <w:rFonts w:ascii="Calibri" w:hAnsi="Calibri" w:asciiTheme="minorHAnsi" w:hAnsiTheme="minorHAnsi"/>
      <w:b/>
      <w:color w:themeColor="accent1" w:val="5B9BD5"/>
      <w:sz w:val="18"/>
    </w:rPr>
  </w:style>
  <w:style w:type="character" w:styleId="9" w:customStyle="1">
    <w:name w:val="Заголовок 9 Знак"/>
    <w:basedOn w:val="1"/>
    <w:qFormat/>
    <w:rPr>
      <w:rFonts w:ascii="Arial" w:hAnsi="Arial"/>
      <w:i/>
      <w:color w:val="000000"/>
      <w:sz w:val="21"/>
    </w:rPr>
  </w:style>
  <w:style w:type="character" w:styleId="Style9" w:customStyle="1">
    <w:name w:val="Верхний колонтитул Знак"/>
    <w:basedOn w:val="1"/>
    <w:link w:val="25"/>
    <w:qFormat/>
    <w:rPr/>
  </w:style>
  <w:style w:type="character" w:styleId="32" w:customStyle="1">
    <w:name w:val="Заголовок 3 Знак"/>
    <w:link w:val="322"/>
    <w:qFormat/>
    <w:rPr>
      <w:rFonts w:ascii="XO Thames" w:hAnsi="XO Thames"/>
      <w:b/>
      <w:sz w:val="26"/>
    </w:rPr>
  </w:style>
  <w:style w:type="character" w:styleId="EndnoteTextChar" w:customStyle="1">
    <w:name w:val="Endnote Text Char"/>
    <w:link w:val="EndnoteTextChar1"/>
    <w:qFormat/>
    <w:rPr>
      <w:sz w:val="20"/>
    </w:rPr>
  </w:style>
  <w:style w:type="character" w:styleId="13" w:customStyle="1">
    <w:name w:val="Основной шрифт абзаца1"/>
    <w:link w:val="117"/>
    <w:qFormat/>
    <w:rPr>
      <w:rFonts w:ascii="Calibri" w:hAnsi="Calibri" w:asciiTheme="minorHAnsi" w:hAnsiTheme="minorHAnsi"/>
      <w:color w:val="000000"/>
      <w:sz w:val="22"/>
    </w:rPr>
  </w:style>
  <w:style w:type="character" w:styleId="Style10" w:customStyle="1">
    <w:name w:val="Основной текст Знак"/>
    <w:basedOn w:val="1"/>
    <w:qFormat/>
    <w:rPr>
      <w:rFonts w:ascii="Calibri" w:hAnsi="Calibri" w:asciiTheme="minorHAnsi" w:hAnsiTheme="minorHAnsi"/>
      <w:color w:val="000000"/>
      <w:sz w:val="22"/>
    </w:rPr>
  </w:style>
  <w:style w:type="character" w:styleId="14" w:customStyle="1">
    <w:name w:val="Заголовок 1 Знак"/>
    <w:link w:val="122"/>
    <w:qFormat/>
    <w:rPr>
      <w:rFonts w:ascii="XO Thames" w:hAnsi="XO Thames"/>
      <w:b/>
      <w:sz w:val="32"/>
    </w:rPr>
  </w:style>
  <w:style w:type="character" w:styleId="15" w:customStyle="1">
    <w:name w:val="Нижний колонтитул Знак1"/>
    <w:basedOn w:val="1"/>
    <w:qFormat/>
    <w:rPr>
      <w:rFonts w:ascii="Times New Roman" w:hAnsi="Times New Roman"/>
      <w:color w:val="000000"/>
      <w:sz w:val="28"/>
    </w:rPr>
  </w:style>
  <w:style w:type="character" w:styleId="311" w:customStyle="1">
    <w:name w:val="Оглавление 3 Знак1"/>
    <w:qFormat/>
    <w:rPr>
      <w:rFonts w:ascii="XO Thames" w:hAnsi="XO Thames"/>
      <w:color w:val="000000"/>
      <w:sz w:val="28"/>
    </w:rPr>
  </w:style>
  <w:style w:type="character" w:styleId="Style11" w:customStyle="1">
    <w:name w:val="Колонтитул"/>
    <w:link w:val="118"/>
    <w:qFormat/>
    <w:rPr>
      <w:rFonts w:ascii="XO Thames" w:hAnsi="XO Thames"/>
      <w:color w:val="000000"/>
      <w:sz w:val="20"/>
    </w:rPr>
  </w:style>
  <w:style w:type="character" w:styleId="Style12" w:customStyle="1">
    <w:name w:val="Указатель Знак"/>
    <w:basedOn w:val="1"/>
    <w:link w:val="Indexheading1"/>
    <w:qFormat/>
    <w:rPr>
      <w:rFonts w:ascii="Calibri" w:hAnsi="Calibri" w:asciiTheme="minorHAnsi" w:hAnsiTheme="minorHAnsi"/>
      <w:color w:val="000000"/>
      <w:sz w:val="22"/>
    </w:rPr>
  </w:style>
  <w:style w:type="character" w:styleId="Heading2Char" w:customStyle="1">
    <w:name w:val="Heading 2 Char"/>
    <w:basedOn w:val="DefaultParagraphFont"/>
    <w:link w:val="Heading2Char1"/>
    <w:qFormat/>
    <w:rPr>
      <w:rFonts w:ascii="Arial" w:hAnsi="Arial"/>
      <w:sz w:val="34"/>
    </w:rPr>
  </w:style>
  <w:style w:type="character" w:styleId="16" w:customStyle="1">
    <w:name w:val="Текст Знак1"/>
    <w:basedOn w:val="1"/>
    <w:link w:val="PlainText"/>
    <w:qFormat/>
    <w:rPr>
      <w:rFonts w:ascii="Calibri" w:hAnsi="Calibri"/>
      <w:color w:val="000000"/>
      <w:sz w:val="22"/>
    </w:rPr>
  </w:style>
  <w:style w:type="character" w:styleId="5" w:customStyle="1">
    <w:name w:val="Заголовок 5 Знак"/>
    <w:link w:val="521"/>
    <w:qFormat/>
    <w:rPr>
      <w:rFonts w:ascii="XO Thames" w:hAnsi="XO Thames"/>
      <w:b/>
      <w:sz w:val="22"/>
    </w:rPr>
  </w:style>
  <w:style w:type="character" w:styleId="FooterChar" w:customStyle="1">
    <w:name w:val="Footer Char"/>
    <w:basedOn w:val="DefaultParagraphFont"/>
    <w:link w:val="FooterChar1"/>
    <w:qFormat/>
    <w:rPr/>
  </w:style>
  <w:style w:type="character" w:styleId="51" w:customStyle="1">
    <w:name w:val="Заголовок 5 Знак1"/>
    <w:qFormat/>
    <w:rPr>
      <w:rFonts w:ascii="XO Thames" w:hAnsi="XO Thames"/>
      <w:b/>
      <w:color w:val="000000"/>
      <w:sz w:val="22"/>
    </w:rPr>
  </w:style>
  <w:style w:type="character" w:styleId="Style13" w:customStyle="1">
    <w:name w:val="Перечень рисунков Знак"/>
    <w:basedOn w:val="1"/>
    <w:qFormat/>
    <w:rPr>
      <w:rFonts w:ascii="Calibri" w:hAnsi="Calibri" w:asciiTheme="minorHAnsi" w:hAnsiTheme="minorHAnsi"/>
      <w:color w:val="000000"/>
      <w:sz w:val="22"/>
    </w:rPr>
  </w:style>
  <w:style w:type="character" w:styleId="91" w:customStyle="1">
    <w:name w:val="Оглавление 9 Знак"/>
    <w:link w:val="92"/>
    <w:qFormat/>
    <w:rPr>
      <w:rFonts w:ascii="XO Thames" w:hAnsi="XO Thames"/>
      <w:sz w:val="28"/>
    </w:rPr>
  </w:style>
  <w:style w:type="character" w:styleId="CaptionChar" w:customStyle="1">
    <w:name w:val="Caption Char"/>
    <w:link w:val="CaptionChar1"/>
    <w:qFormat/>
    <w:rPr/>
  </w:style>
  <w:style w:type="character" w:styleId="8" w:customStyle="1">
    <w:name w:val="Оглавление 8 Знак"/>
    <w:link w:val="82"/>
    <w:qFormat/>
    <w:rPr>
      <w:rFonts w:ascii="XO Thames" w:hAnsi="XO Thames"/>
      <w:sz w:val="28"/>
    </w:rPr>
  </w:style>
  <w:style w:type="character" w:styleId="111" w:customStyle="1">
    <w:name w:val="Заголовок 1 Знак1"/>
    <w:qFormat/>
    <w:rPr>
      <w:rFonts w:ascii="XO Thames" w:hAnsi="XO Thames"/>
      <w:b/>
      <w:color w:val="000000"/>
      <w:sz w:val="32"/>
    </w:rPr>
  </w:style>
  <w:style w:type="character" w:styleId="2" w:customStyle="1">
    <w:name w:val="Оглавление 2 Знак"/>
    <w:link w:val="221"/>
    <w:qFormat/>
    <w:rPr>
      <w:rFonts w:ascii="XO Thames" w:hAnsi="XO Thames"/>
      <w:sz w:val="28"/>
    </w:rPr>
  </w:style>
  <w:style w:type="character" w:styleId="Style14" w:customStyle="1">
    <w:name w:val="Текст выноски Знак"/>
    <w:basedOn w:val="1"/>
    <w:link w:val="28"/>
    <w:qFormat/>
    <w:rPr>
      <w:rFonts w:ascii="Segoe UI" w:hAnsi="Segoe UI"/>
      <w:sz w:val="18"/>
    </w:rPr>
  </w:style>
  <w:style w:type="character" w:styleId="Style15" w:customStyle="1">
    <w:name w:val="Список Знак"/>
    <w:basedOn w:val="Style10"/>
    <w:qFormat/>
    <w:rPr>
      <w:rFonts w:ascii="Calibri" w:hAnsi="Calibri" w:asciiTheme="minorHAnsi" w:hAnsiTheme="minorHAnsi"/>
      <w:color w:val="000000"/>
      <w:sz w:val="22"/>
    </w:rPr>
  </w:style>
  <w:style w:type="character" w:styleId="Heading7Char" w:customStyle="1">
    <w:name w:val="Heading 7 Char"/>
    <w:basedOn w:val="DefaultParagraphFont"/>
    <w:link w:val="Heading7Char1"/>
    <w:qFormat/>
    <w:rPr>
      <w:rFonts w:ascii="Arial" w:hAnsi="Arial"/>
      <w:b/>
      <w:i/>
      <w:sz w:val="22"/>
    </w:rPr>
  </w:style>
  <w:style w:type="character" w:styleId="Hyperlink">
    <w:name w:val="Hyperlink"/>
    <w:basedOn w:val="DefaultParagraphFont"/>
    <w:link w:val="119"/>
    <w:rPr>
      <w:color w:themeColor="hyperlink" w:val="0563C1"/>
      <w:u w:val="single"/>
    </w:rPr>
  </w:style>
  <w:style w:type="character" w:styleId="Footnote" w:customStyle="1">
    <w:name w:val="Footnote"/>
    <w:link w:val="Footnote2"/>
    <w:qFormat/>
    <w:rPr>
      <w:rFonts w:ascii="XO Thames" w:hAnsi="XO Thames"/>
      <w:sz w:val="22"/>
    </w:rPr>
  </w:style>
  <w:style w:type="character" w:styleId="81" w:customStyle="1">
    <w:name w:val="Заголовок 8 Знак"/>
    <w:basedOn w:val="1"/>
    <w:qFormat/>
    <w:rPr>
      <w:rFonts w:ascii="Arial" w:hAnsi="Arial"/>
      <w:i/>
      <w:color w:val="000000"/>
      <w:sz w:val="22"/>
    </w:rPr>
  </w:style>
  <w:style w:type="character" w:styleId="Heading4Char" w:customStyle="1">
    <w:name w:val="Heading 4 Char"/>
    <w:basedOn w:val="DefaultParagraphFont"/>
    <w:link w:val="Heading4Char1"/>
    <w:qFormat/>
    <w:rPr>
      <w:rFonts w:ascii="Arial" w:hAnsi="Arial"/>
      <w:b/>
      <w:sz w:val="26"/>
    </w:rPr>
  </w:style>
  <w:style w:type="character" w:styleId="112" w:customStyle="1">
    <w:name w:val="Оглавление 1 Знак1"/>
    <w:qFormat/>
    <w:rPr>
      <w:rFonts w:ascii="XO Thames" w:hAnsi="XO Thames"/>
      <w:b/>
      <w:color w:val="000000"/>
      <w:sz w:val="28"/>
    </w:rPr>
  </w:style>
  <w:style w:type="character" w:styleId="Style16" w:customStyle="1">
    <w:name w:val="Символ сноски"/>
    <w:link w:val="124"/>
    <w:qFormat/>
    <w:rPr>
      <w:vertAlign w:val="superscript"/>
    </w:rPr>
  </w:style>
  <w:style w:type="character" w:styleId="FootnoteReference">
    <w:name w:val="Footnote Reference"/>
    <w:rPr>
      <w:vertAlign w:val="superscript"/>
    </w:rPr>
  </w:style>
  <w:style w:type="character" w:styleId="Heading8Char" w:customStyle="1">
    <w:name w:val="Heading 8 Char"/>
    <w:basedOn w:val="DefaultParagraphFont"/>
    <w:link w:val="Heading8Char1"/>
    <w:qFormat/>
    <w:rPr>
      <w:rFonts w:ascii="Arial" w:hAnsi="Arial"/>
      <w:i/>
      <w:sz w:val="22"/>
    </w:rPr>
  </w:style>
  <w:style w:type="character" w:styleId="HeaderandFooter" w:customStyle="1">
    <w:name w:val="Header and Footer"/>
    <w:qFormat/>
    <w:rPr>
      <w:rFonts w:ascii="XO Thames" w:hAnsi="XO Thames"/>
      <w:sz w:val="20"/>
    </w:rPr>
  </w:style>
  <w:style w:type="character" w:styleId="Style17" w:customStyle="1">
    <w:name w:val="Текст сноски Знак"/>
    <w:basedOn w:val="1"/>
    <w:qFormat/>
    <w:rPr>
      <w:rFonts w:ascii="Calibri" w:hAnsi="Calibri" w:asciiTheme="minorHAnsi" w:hAnsiTheme="minorHAnsi"/>
      <w:color w:val="000000"/>
      <w:sz w:val="18"/>
    </w:rPr>
  </w:style>
  <w:style w:type="character" w:styleId="Style18" w:customStyle="1">
    <w:name w:val="Абзац списка Знак"/>
    <w:basedOn w:val="1"/>
    <w:link w:val="ListParagraph"/>
    <w:qFormat/>
    <w:rPr>
      <w:rFonts w:ascii="Calibri" w:hAnsi="Calibri" w:asciiTheme="minorHAnsi" w:hAnsiTheme="minorHAnsi"/>
      <w:color w:val="000000"/>
      <w:sz w:val="22"/>
    </w:rPr>
  </w:style>
  <w:style w:type="character" w:styleId="Footnote1" w:customStyle="1">
    <w:name w:val="Footnote1"/>
    <w:link w:val="Footnote11"/>
    <w:qFormat/>
    <w:rPr>
      <w:rFonts w:ascii="XO Thames" w:hAnsi="XO Thames"/>
      <w:color w:val="000000"/>
      <w:sz w:val="22"/>
    </w:rPr>
  </w:style>
  <w:style w:type="character" w:styleId="FootnoteTextChar" w:customStyle="1">
    <w:name w:val="Footnote Text Char"/>
    <w:link w:val="FootnoteTextChar1"/>
    <w:qFormat/>
    <w:rPr>
      <w:sz w:val="18"/>
    </w:rPr>
  </w:style>
  <w:style w:type="character" w:styleId="TitleChar" w:customStyle="1">
    <w:name w:val="Title Char"/>
    <w:basedOn w:val="DefaultParagraphFont"/>
    <w:link w:val="TitleChar1"/>
    <w:qFormat/>
    <w:rPr>
      <w:sz w:val="48"/>
    </w:rPr>
  </w:style>
  <w:style w:type="character" w:styleId="42" w:customStyle="1">
    <w:name w:val="Оглавление 4 Знак"/>
    <w:link w:val="422"/>
    <w:qFormat/>
    <w:rPr>
      <w:rFonts w:ascii="XO Thames" w:hAnsi="XO Thames"/>
      <w:sz w:val="28"/>
    </w:rPr>
  </w:style>
  <w:style w:type="character" w:styleId="Heading6Char" w:customStyle="1">
    <w:name w:val="Heading 6 Char"/>
    <w:basedOn w:val="DefaultParagraphFont"/>
    <w:link w:val="Heading6Char1"/>
    <w:qFormat/>
    <w:rPr>
      <w:rFonts w:ascii="Arial" w:hAnsi="Arial"/>
      <w:b/>
      <w:sz w:val="22"/>
    </w:rPr>
  </w:style>
  <w:style w:type="character" w:styleId="22" w:customStyle="1">
    <w:name w:val="Заголовок 2 Знак"/>
    <w:link w:val="222"/>
    <w:qFormat/>
    <w:rPr>
      <w:rFonts w:ascii="XO Thames" w:hAnsi="XO Thames"/>
      <w:b/>
      <w:sz w:val="28"/>
    </w:rPr>
  </w:style>
  <w:style w:type="character" w:styleId="Heading9Char" w:customStyle="1">
    <w:name w:val="Heading 9 Char"/>
    <w:basedOn w:val="DefaultParagraphFont"/>
    <w:link w:val="Heading9Char1"/>
    <w:qFormat/>
    <w:rPr>
      <w:rFonts w:ascii="Arial" w:hAnsi="Arial"/>
      <w:i/>
      <w:sz w:val="21"/>
    </w:rPr>
  </w:style>
  <w:style w:type="character" w:styleId="811" w:customStyle="1">
    <w:name w:val="Оглавление 8 Знак1"/>
    <w:qFormat/>
    <w:rPr>
      <w:rFonts w:ascii="XO Thames" w:hAnsi="XO Thames"/>
      <w:color w:val="000000"/>
      <w:sz w:val="28"/>
    </w:rPr>
  </w:style>
  <w:style w:type="character" w:styleId="Style19" w:customStyle="1">
    <w:name w:val="Символ концевой сноски"/>
    <w:link w:val="125"/>
    <w:qFormat/>
    <w:rPr>
      <w:vertAlign w:val="superscript"/>
    </w:rPr>
  </w:style>
  <w:style w:type="character" w:styleId="Style20" w:customStyle="1">
    <w:name w:val="Без интервала Знак"/>
    <w:link w:val="NoSpacing"/>
    <w:qFormat/>
    <w:rPr>
      <w:rFonts w:ascii="Calibri" w:hAnsi="Calibri" w:asciiTheme="minorHAnsi" w:hAnsiTheme="minorHAnsi"/>
      <w:color w:val="000000"/>
      <w:sz w:val="22"/>
    </w:rPr>
  </w:style>
  <w:style w:type="character" w:styleId="511" w:customStyle="1">
    <w:name w:val="Оглавление 5 Знак1"/>
    <w:qFormat/>
    <w:rPr>
      <w:rFonts w:ascii="XO Thames" w:hAnsi="XO Thames"/>
      <w:color w:val="000000"/>
      <w:sz w:val="28"/>
    </w:rPr>
  </w:style>
  <w:style w:type="character" w:styleId="QuoteChar" w:customStyle="1">
    <w:name w:val="Quote Char"/>
    <w:link w:val="QuoteChar1"/>
    <w:qFormat/>
    <w:rPr>
      <w:i/>
    </w:rPr>
  </w:style>
  <w:style w:type="character" w:styleId="Style21" w:customStyle="1">
    <w:name w:val="Нижний колонтитул Знак"/>
    <w:basedOn w:val="1"/>
    <w:link w:val="29"/>
    <w:qFormat/>
    <w:rPr>
      <w:rFonts w:ascii="Times New Roman" w:hAnsi="Times New Roman"/>
      <w:sz w:val="28"/>
    </w:rPr>
  </w:style>
  <w:style w:type="character" w:styleId="Style22" w:customStyle="1">
    <w:name w:val="Подзаголовок Знак"/>
    <w:link w:val="210"/>
    <w:qFormat/>
    <w:rPr>
      <w:rFonts w:ascii="XO Thames" w:hAnsi="XO Thames"/>
      <w:i/>
      <w:sz w:val="24"/>
    </w:rPr>
  </w:style>
  <w:style w:type="character" w:styleId="Style23" w:customStyle="1">
    <w:name w:val="Текст концевой сноски Знак"/>
    <w:basedOn w:val="1"/>
    <w:qFormat/>
    <w:rPr>
      <w:rFonts w:ascii="Calibri" w:hAnsi="Calibri" w:asciiTheme="minorHAnsi" w:hAnsiTheme="minorHAnsi"/>
      <w:color w:val="000000"/>
      <w:sz w:val="20"/>
    </w:rPr>
  </w:style>
  <w:style w:type="character" w:styleId="17" w:customStyle="1">
    <w:name w:val="Верхний колонтитул Знак1"/>
    <w:basedOn w:val="1"/>
    <w:qFormat/>
    <w:rPr>
      <w:rFonts w:ascii="Calibri" w:hAnsi="Calibri" w:asciiTheme="minorHAnsi" w:hAnsiTheme="minorHAnsi"/>
      <w:color w:val="000000"/>
      <w:sz w:val="22"/>
    </w:rPr>
  </w:style>
  <w:style w:type="character" w:styleId="18" w:customStyle="1">
    <w:name w:val="Текст выноски Знак1"/>
    <w:basedOn w:val="1"/>
    <w:link w:val="BalloonText"/>
    <w:qFormat/>
    <w:rPr>
      <w:rFonts w:ascii="Segoe UI" w:hAnsi="Segoe UI"/>
      <w:color w:val="000000"/>
      <w:sz w:val="18"/>
    </w:rPr>
  </w:style>
  <w:style w:type="character" w:styleId="Style24" w:customStyle="1">
    <w:name w:val="Заголовок оглавления Знак"/>
    <w:qFormat/>
    <w:rPr>
      <w:rFonts w:ascii="Calibri" w:hAnsi="Calibri" w:asciiTheme="minorHAnsi" w:hAnsiTheme="minorHAnsi"/>
      <w:color w:val="000000"/>
      <w:sz w:val="22"/>
    </w:rPr>
  </w:style>
  <w:style w:type="character" w:styleId="Heading5Char" w:customStyle="1">
    <w:name w:val="Heading 5 Char"/>
    <w:basedOn w:val="DefaultParagraphFont"/>
    <w:link w:val="Heading5Char1"/>
    <w:qFormat/>
    <w:rPr>
      <w:rFonts w:ascii="Arial" w:hAnsi="Arial"/>
      <w:b/>
      <w:sz w:val="24"/>
    </w:rPr>
  </w:style>
  <w:style w:type="character" w:styleId="19" w:customStyle="1">
    <w:name w:val="Подзаголовок Знак1"/>
    <w:qFormat/>
    <w:rPr>
      <w:rFonts w:ascii="XO Thames" w:hAnsi="XO Thames"/>
      <w:i/>
      <w:color w:val="000000"/>
      <w:sz w:val="24"/>
    </w:rPr>
  </w:style>
  <w:style w:type="character" w:styleId="6" w:customStyle="1">
    <w:name w:val="Оглавление 6 Знак"/>
    <w:link w:val="621"/>
    <w:qFormat/>
    <w:rPr>
      <w:rFonts w:ascii="XO Thames" w:hAnsi="XO Thames"/>
      <w:sz w:val="28"/>
    </w:rPr>
  </w:style>
  <w:style w:type="character" w:styleId="110" w:customStyle="1">
    <w:name w:val="Название Знак1"/>
    <w:qFormat/>
    <w:rPr>
      <w:rFonts w:ascii="XO Thames" w:hAnsi="XO Thames"/>
      <w:b/>
      <w:caps/>
      <w:color w:val="000000"/>
      <w:sz w:val="40"/>
    </w:rPr>
  </w:style>
  <w:style w:type="character" w:styleId="411" w:customStyle="1">
    <w:name w:val="Заголовок 4 Знак1"/>
    <w:qFormat/>
    <w:rPr>
      <w:rFonts w:ascii="XO Thames" w:hAnsi="XO Thames"/>
      <w:b/>
      <w:color w:val="000000"/>
      <w:sz w:val="24"/>
    </w:rPr>
  </w:style>
  <w:style w:type="character" w:styleId="23" w:customStyle="1">
    <w:name w:val="Цитата 2 Знак"/>
    <w:basedOn w:val="1"/>
    <w:link w:val="Quote"/>
    <w:qFormat/>
    <w:rPr>
      <w:rFonts w:ascii="Calibri" w:hAnsi="Calibri" w:asciiTheme="minorHAnsi" w:hAnsiTheme="minorHAnsi"/>
      <w:i/>
      <w:color w:val="000000"/>
      <w:sz w:val="22"/>
    </w:rPr>
  </w:style>
  <w:style w:type="character" w:styleId="Heading1Char" w:customStyle="1">
    <w:name w:val="Heading 1 Char"/>
    <w:basedOn w:val="DefaultParagraphFont"/>
    <w:link w:val="Heading1Char1"/>
    <w:qFormat/>
    <w:rPr>
      <w:rFonts w:ascii="Arial" w:hAnsi="Arial"/>
      <w:sz w:val="40"/>
    </w:rPr>
  </w:style>
  <w:style w:type="character" w:styleId="ConsPlusNormal" w:customStyle="1">
    <w:name w:val="ConsPlusNormal"/>
    <w:link w:val="ConsPlusNormal1"/>
    <w:qFormat/>
    <w:rPr>
      <w:rFonts w:ascii="Times New Roman" w:hAnsi="Times New Roman"/>
      <w:b w:val="false"/>
      <w:i w:val="false"/>
      <w:caps w:val="false"/>
      <w:smallCaps w:val="false"/>
      <w:strike w:val="false"/>
      <w:dstrike w:val="false"/>
      <w:color w:val="000000"/>
      <w:spacing w:val="0"/>
      <w:sz w:val="24"/>
      <w:u w:val="none"/>
    </w:rPr>
  </w:style>
  <w:style w:type="character" w:styleId="211" w:customStyle="1">
    <w:name w:val="Заголовок 2 Знак1"/>
    <w:qFormat/>
    <w:rPr>
      <w:rFonts w:ascii="XO Thames" w:hAnsi="XO Thames"/>
      <w:b/>
      <w:color w:val="000000"/>
      <w:sz w:val="28"/>
    </w:rPr>
  </w:style>
  <w:style w:type="character" w:styleId="52" w:customStyle="1">
    <w:name w:val="Оглавление 5 Знак"/>
    <w:link w:val="522"/>
    <w:qFormat/>
    <w:rPr>
      <w:rFonts w:ascii="XO Thames" w:hAnsi="XO Thames"/>
      <w:sz w:val="28"/>
    </w:rPr>
  </w:style>
  <w:style w:type="character" w:styleId="Style25" w:customStyle="1">
    <w:name w:val="Текст Знак"/>
    <w:basedOn w:val="1"/>
    <w:link w:val="212"/>
    <w:qFormat/>
    <w:rPr>
      <w:rFonts w:ascii="Calibri" w:hAnsi="Calibri"/>
    </w:rPr>
  </w:style>
  <w:style w:type="character" w:styleId="62" w:customStyle="1">
    <w:name w:val="Заголовок 6 Знак"/>
    <w:basedOn w:val="1"/>
    <w:qFormat/>
    <w:rPr>
      <w:rFonts w:ascii="Arial" w:hAnsi="Arial"/>
      <w:b/>
      <w:color w:val="000000"/>
      <w:sz w:val="22"/>
    </w:rPr>
  </w:style>
  <w:style w:type="character" w:styleId="EndnoteReference">
    <w:name w:val="Endnote Reference"/>
    <w:rPr>
      <w:vertAlign w:val="superscript"/>
    </w:rPr>
  </w:style>
  <w:style w:type="character" w:styleId="113" w:customStyle="1">
    <w:name w:val="Гиперссылка1"/>
    <w:link w:val="119"/>
    <w:qFormat/>
    <w:rPr>
      <w:rFonts w:ascii="Calibri" w:hAnsi="Calibri"/>
      <w:color w:themeColor="hyperlink" w:val="0563C1"/>
      <w:sz w:val="22"/>
      <w:u w:val="single"/>
    </w:rPr>
  </w:style>
  <w:style w:type="paragraph" w:styleId="114">
    <w:name w:val="Заголовок1"/>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link w:val="Style10"/>
    <w:pPr>
      <w:spacing w:lineRule="auto" w:line="276" w:before="0" w:after="140"/>
    </w:pPr>
    <w:rPr/>
  </w:style>
  <w:style w:type="paragraph" w:styleId="List">
    <w:name w:val="List"/>
    <w:basedOn w:val="BodyText"/>
    <w:link w:val="Style15"/>
    <w:pPr/>
    <w:rPr/>
  </w:style>
  <w:style w:type="paragraph" w:styleId="Caption">
    <w:name w:val="Caption"/>
    <w:basedOn w:val="Normal"/>
    <w:link w:val="Style8"/>
    <w:qFormat/>
    <w:pPr>
      <w:spacing w:lineRule="auto" w:line="276"/>
    </w:pPr>
    <w:rPr>
      <w:b/>
      <w:color w:themeColor="accent1" w:val="5B9BD5"/>
      <w:sz w:val="18"/>
    </w:rPr>
  </w:style>
  <w:style w:type="paragraph" w:styleId="Style26">
    <w:name w:val="Указатель"/>
    <w:basedOn w:val="Normal"/>
    <w:qFormat/>
    <w:pPr>
      <w:suppressLineNumbers/>
    </w:pPr>
    <w:rPr>
      <w:rFonts w:cs="Lohit Devanagari"/>
    </w:rPr>
  </w:style>
  <w:style w:type="paragraph" w:styleId="115">
    <w:name w:val="Заголовок11"/>
    <w:basedOn w:val="Normal"/>
    <w:next w:val="BodyText"/>
    <w:qFormat/>
    <w:pPr>
      <w:keepNext w:val="true"/>
      <w:spacing w:before="240" w:after="120"/>
    </w:pPr>
    <w:rPr>
      <w:rFonts w:ascii="Open Sans" w:hAnsi="Open Sans" w:eastAsia="Tahoma" w:cs="Lohit Devanagari"/>
      <w:sz w:val="28"/>
      <w:szCs w:val="28"/>
    </w:rPr>
  </w:style>
  <w:style w:type="paragraph" w:styleId="1111" w:customStyle="1">
    <w:name w:val="Заголовок111"/>
    <w:basedOn w:val="Normal"/>
    <w:next w:val="BodyText"/>
    <w:link w:val="Style5"/>
    <w:qFormat/>
    <w:pPr>
      <w:keepNext w:val="true"/>
      <w:spacing w:before="240" w:after="120"/>
    </w:pPr>
    <w:rPr>
      <w:rFonts w:ascii="Open Sans" w:hAnsi="Open Sans"/>
      <w:sz w:val="28"/>
    </w:rPr>
  </w:style>
  <w:style w:type="paragraph" w:styleId="321" w:customStyle="1">
    <w:name w:val="Оглавление 3 Знак2"/>
    <w:link w:val="3"/>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421" w:customStyle="1">
    <w:name w:val="Заголовок 4 Знак2"/>
    <w:link w:val="4"/>
    <w:qFormat/>
    <w:pPr>
      <w:widowControl/>
      <w:bidi w:val="0"/>
      <w:spacing w:before="0" w:after="0"/>
      <w:jc w:val="left"/>
    </w:pPr>
    <w:rPr>
      <w:rFonts w:ascii="XO Thames" w:hAnsi="XO Thames" w:eastAsia="Times New Roman" w:cs="Times New Roman"/>
      <w:b/>
      <w:color w:val="000000"/>
      <w:kern w:val="0"/>
      <w:sz w:val="24"/>
      <w:szCs w:val="20"/>
      <w:lang w:val="ru-RU" w:eastAsia="ru-RU" w:bidi="ar-SA"/>
    </w:rPr>
  </w:style>
  <w:style w:type="paragraph" w:styleId="TOC2">
    <w:name w:val="TOC 2"/>
    <w:link w:val="21"/>
    <w:uiPriority w:val="39"/>
    <w:pPr>
      <w:widowControl/>
      <w:bidi w:val="0"/>
      <w:spacing w:lineRule="auto" w:line="264" w:before="0" w:after="160"/>
      <w:ind w:left="200"/>
      <w:jc w:val="left"/>
    </w:pPr>
    <w:rPr>
      <w:rFonts w:ascii="XO Thames" w:hAnsi="XO Thames" w:eastAsia="Times New Roman" w:cs="Times New Roman"/>
      <w:color w:val="000000"/>
      <w:kern w:val="0"/>
      <w:sz w:val="28"/>
      <w:szCs w:val="20"/>
      <w:lang w:val="ru-RU" w:eastAsia="ru-RU" w:bidi="ar-SA"/>
    </w:rPr>
  </w:style>
  <w:style w:type="paragraph" w:styleId="IntenseQuoteChar1" w:customStyle="1">
    <w:name w:val="Intense Quote Char1"/>
    <w:link w:val="IntenseQuoteChar"/>
    <w:qFormat/>
    <w:pPr>
      <w:widowControl/>
      <w:bidi w:val="0"/>
      <w:spacing w:before="0" w:after="0"/>
      <w:jc w:val="left"/>
    </w:pPr>
    <w:rPr>
      <w:rFonts w:ascii="Calibri" w:hAnsi="Calibri" w:eastAsia="Times New Roman" w:cs="Times New Roman" w:asciiTheme="minorHAnsi" w:hAnsiTheme="minorHAnsi"/>
      <w:i/>
      <w:color w:val="000000"/>
      <w:kern w:val="0"/>
      <w:sz w:val="22"/>
      <w:szCs w:val="20"/>
      <w:lang w:val="ru-RU" w:eastAsia="ru-RU" w:bidi="ar-SA"/>
    </w:rPr>
  </w:style>
  <w:style w:type="paragraph" w:styleId="TOC4">
    <w:name w:val="TOC 4"/>
    <w:link w:val="41"/>
    <w:uiPriority w:val="39"/>
    <w:pPr>
      <w:widowControl/>
      <w:bidi w:val="0"/>
      <w:spacing w:lineRule="auto" w:line="264" w:before="0" w:after="160"/>
      <w:ind w:left="600"/>
      <w:jc w:val="left"/>
    </w:pPr>
    <w:rPr>
      <w:rFonts w:ascii="XO Thames" w:hAnsi="XO Thames" w:eastAsia="Times New Roman" w:cs="Times New Roman"/>
      <w:color w:val="000000"/>
      <w:kern w:val="0"/>
      <w:sz w:val="28"/>
      <w:szCs w:val="20"/>
      <w:lang w:val="ru-RU" w:eastAsia="ru-RU" w:bidi="ar-SA"/>
    </w:rPr>
  </w:style>
  <w:style w:type="paragraph" w:styleId="Heading3Char1" w:customStyle="1">
    <w:name w:val="Heading 3 Char1"/>
    <w:basedOn w:val="27"/>
    <w:link w:val="Heading3Char"/>
    <w:qFormat/>
    <w:pPr/>
    <w:rPr>
      <w:rFonts w:ascii="Arial" w:hAnsi="Arial"/>
      <w:sz w:val="30"/>
    </w:rPr>
  </w:style>
  <w:style w:type="paragraph" w:styleId="TOC6">
    <w:name w:val="TOC 6"/>
    <w:link w:val="61"/>
    <w:uiPriority w:val="39"/>
    <w:pPr>
      <w:widowControl/>
      <w:bidi w:val="0"/>
      <w:spacing w:lineRule="auto" w:line="264" w:before="0" w:after="160"/>
      <w:ind w:left="1000"/>
      <w:jc w:val="left"/>
    </w:pPr>
    <w:rPr>
      <w:rFonts w:ascii="XO Thames" w:hAnsi="XO Thames" w:eastAsia="Times New Roman" w:cs="Times New Roman"/>
      <w:color w:val="000000"/>
      <w:kern w:val="0"/>
      <w:sz w:val="28"/>
      <w:szCs w:val="20"/>
      <w:lang w:val="ru-RU" w:eastAsia="ru-RU" w:bidi="ar-SA"/>
    </w:rPr>
  </w:style>
  <w:style w:type="paragraph" w:styleId="TOC7">
    <w:name w:val="TOC 7"/>
    <w:link w:val="71"/>
    <w:uiPriority w:val="39"/>
    <w:pPr>
      <w:widowControl/>
      <w:bidi w:val="0"/>
      <w:spacing w:lineRule="auto" w:line="264" w:before="0" w:after="160"/>
      <w:ind w:left="1200"/>
      <w:jc w:val="left"/>
    </w:pPr>
    <w:rPr>
      <w:rFonts w:ascii="XO Thames" w:hAnsi="XO Thames" w:eastAsia="Times New Roman" w:cs="Times New Roman"/>
      <w:color w:val="000000"/>
      <w:kern w:val="0"/>
      <w:sz w:val="28"/>
      <w:szCs w:val="20"/>
      <w:lang w:val="ru-RU" w:eastAsia="ru-RU" w:bidi="ar-SA"/>
    </w:rPr>
  </w:style>
  <w:style w:type="paragraph" w:styleId="Indexheading1">
    <w:name w:val="index heading1"/>
    <w:basedOn w:val="Normal"/>
    <w:link w:val="Style12"/>
    <w:qFormat/>
    <w:pPr/>
    <w:rPr/>
  </w:style>
  <w:style w:type="paragraph" w:styleId="IntenseQuote">
    <w:name w:val="Intense Quote"/>
    <w:basedOn w:val="Normal"/>
    <w:link w:val="Style6"/>
    <w:qFormat/>
    <w:pPr>
      <w:ind w:left="720" w:right="720"/>
    </w:pPr>
    <w:rPr>
      <w:i/>
    </w:rPr>
  </w:style>
  <w:style w:type="paragraph" w:styleId="24" w:customStyle="1">
    <w:name w:val="Название Знак2"/>
    <w:link w:val="Style7"/>
    <w:qFormat/>
    <w:pPr>
      <w:widowControl/>
      <w:bidi w:val="0"/>
      <w:spacing w:before="0" w:after="0"/>
      <w:jc w:val="left"/>
    </w:pPr>
    <w:rPr>
      <w:rFonts w:ascii="XO Thames" w:hAnsi="XO Thames" w:eastAsia="Times New Roman" w:cs="Times New Roman"/>
      <w:b/>
      <w:caps/>
      <w:color w:val="000000"/>
      <w:kern w:val="0"/>
      <w:sz w:val="40"/>
      <w:szCs w:val="20"/>
      <w:lang w:val="ru-RU" w:eastAsia="ru-RU" w:bidi="ar-SA"/>
    </w:rPr>
  </w:style>
  <w:style w:type="paragraph" w:styleId="721" w:customStyle="1">
    <w:name w:val="Оглавление 7 Знак2"/>
    <w:link w:val="72"/>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121" w:customStyle="1">
    <w:name w:val="Оглавление 1 Знак2"/>
    <w:link w:val="12"/>
    <w:qFormat/>
    <w:pPr>
      <w:widowControl/>
      <w:bidi w:val="0"/>
      <w:spacing w:before="0" w:after="0"/>
      <w:jc w:val="left"/>
    </w:pPr>
    <w:rPr>
      <w:rFonts w:ascii="XO Thames" w:hAnsi="XO Thames" w:eastAsia="Times New Roman" w:cs="Times New Roman"/>
      <w:b/>
      <w:color w:val="000000"/>
      <w:kern w:val="0"/>
      <w:sz w:val="28"/>
      <w:szCs w:val="20"/>
      <w:lang w:val="ru-RU" w:eastAsia="ru-RU" w:bidi="ar-SA"/>
    </w:rPr>
  </w:style>
  <w:style w:type="paragraph" w:styleId="116" w:customStyle="1">
    <w:name w:val="Обычный11"/>
    <w:link w:val="1"/>
    <w:qFormat/>
    <w:pPr>
      <w:widowControl/>
      <w:bidi w:val="0"/>
      <w:spacing w:before="0" w:after="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SubtitleChar1" w:customStyle="1">
    <w:name w:val="Subtitle Char1"/>
    <w:basedOn w:val="27"/>
    <w:link w:val="SubtitleChar"/>
    <w:qFormat/>
    <w:pPr/>
    <w:rPr>
      <w:sz w:val="24"/>
    </w:rPr>
  </w:style>
  <w:style w:type="paragraph" w:styleId="HeaderChar1" w:customStyle="1">
    <w:name w:val="Header Char1"/>
    <w:basedOn w:val="27"/>
    <w:link w:val="HeaderChar"/>
    <w:qFormat/>
    <w:pPr/>
    <w:rPr/>
  </w:style>
  <w:style w:type="paragraph" w:styleId="25" w:customStyle="1">
    <w:name w:val="Верхний колонтитул Знак2"/>
    <w:basedOn w:val="116"/>
    <w:link w:val="Style9"/>
    <w:qFormat/>
    <w:pPr/>
    <w:rPr/>
  </w:style>
  <w:style w:type="paragraph" w:styleId="322" w:customStyle="1">
    <w:name w:val="Заголовок 3 Знак2"/>
    <w:link w:val="32"/>
    <w:qFormat/>
    <w:pPr>
      <w:widowControl/>
      <w:bidi w:val="0"/>
      <w:spacing w:before="0" w:after="0"/>
      <w:jc w:val="left"/>
    </w:pPr>
    <w:rPr>
      <w:rFonts w:ascii="XO Thames" w:hAnsi="XO Thames" w:eastAsia="Times New Roman" w:cs="Times New Roman"/>
      <w:b/>
      <w:color w:val="000000"/>
      <w:kern w:val="0"/>
      <w:sz w:val="26"/>
      <w:szCs w:val="20"/>
      <w:lang w:val="ru-RU" w:eastAsia="ru-RU" w:bidi="ar-SA"/>
    </w:rPr>
  </w:style>
  <w:style w:type="paragraph" w:styleId="EndnoteTextChar1" w:customStyle="1">
    <w:name w:val="Endnote Text Char1"/>
    <w:link w:val="EndnoteTextChar"/>
    <w:qFormat/>
    <w:pPr>
      <w:widowControl/>
      <w:bidi w:val="0"/>
      <w:spacing w:before="0" w:after="0"/>
      <w:jc w:val="left"/>
    </w:pPr>
    <w:rPr>
      <w:rFonts w:ascii="Calibri" w:hAnsi="Calibri" w:eastAsia="Times New Roman" w:cs="Times New Roman" w:asciiTheme="minorHAnsi" w:hAnsiTheme="minorHAnsi"/>
      <w:color w:val="000000"/>
      <w:kern w:val="0"/>
      <w:sz w:val="20"/>
      <w:szCs w:val="20"/>
      <w:lang w:val="ru-RU" w:eastAsia="ru-RU" w:bidi="ar-SA"/>
    </w:rPr>
  </w:style>
  <w:style w:type="paragraph" w:styleId="117" w:customStyle="1">
    <w:name w:val="Основной шрифт абзаца11"/>
    <w:link w:val="13"/>
    <w:qFormat/>
    <w:pPr>
      <w:widowControl/>
      <w:bidi w:val="0"/>
      <w:spacing w:lineRule="auto" w:line="264"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122" w:customStyle="1">
    <w:name w:val="Заголовок 1 Знак2"/>
    <w:link w:val="14"/>
    <w:qFormat/>
    <w:pPr>
      <w:widowControl/>
      <w:bidi w:val="0"/>
      <w:spacing w:before="0" w:after="0"/>
      <w:jc w:val="left"/>
    </w:pPr>
    <w:rPr>
      <w:rFonts w:ascii="XO Thames" w:hAnsi="XO Thames" w:eastAsia="Times New Roman" w:cs="Times New Roman"/>
      <w:b/>
      <w:color w:val="000000"/>
      <w:kern w:val="0"/>
      <w:sz w:val="32"/>
      <w:szCs w:val="20"/>
      <w:lang w:val="ru-RU" w:eastAsia="ru-RU" w:bidi="ar-SA"/>
    </w:rPr>
  </w:style>
  <w:style w:type="paragraph" w:styleId="118" w:customStyle="1">
    <w:name w:val="Колонтитул1"/>
    <w:link w:val="Style11"/>
    <w:qFormat/>
    <w:pPr>
      <w:widowControl/>
      <w:bidi w:val="0"/>
      <w:spacing w:before="0" w:after="0"/>
      <w:jc w:val="left"/>
    </w:pPr>
    <w:rPr>
      <w:rFonts w:ascii="XO Thames" w:hAnsi="XO Thames" w:eastAsia="Times New Roman" w:cs="Times New Roman"/>
      <w:color w:val="000000"/>
      <w:kern w:val="0"/>
      <w:sz w:val="20"/>
      <w:szCs w:val="20"/>
      <w:lang w:val="ru-RU" w:eastAsia="ru-RU" w:bidi="ar-SA"/>
    </w:rPr>
  </w:style>
  <w:style w:type="paragraph" w:styleId="26">
    <w:name w:val="Колонтитул2"/>
    <w:basedOn w:val="Normal"/>
    <w:qFormat/>
    <w:pPr/>
    <w:rPr/>
  </w:style>
  <w:style w:type="paragraph" w:styleId="33">
    <w:name w:val="Колонтитул3"/>
    <w:basedOn w:val="Normal"/>
    <w:qFormat/>
    <w:pPr/>
    <w:rPr/>
  </w:style>
  <w:style w:type="paragraph" w:styleId="Footer">
    <w:name w:val="Footer"/>
    <w:basedOn w:val="Normal"/>
    <w:link w:val="15"/>
    <w:pPr>
      <w:tabs>
        <w:tab w:val="clear" w:pos="708"/>
        <w:tab w:val="center" w:pos="4677" w:leader="none"/>
        <w:tab w:val="right" w:pos="9355" w:leader="none"/>
      </w:tabs>
      <w:spacing w:lineRule="auto" w:line="240" w:before="0" w:after="0"/>
    </w:pPr>
    <w:rPr>
      <w:rFonts w:ascii="Times New Roman" w:hAnsi="Times New Roman"/>
      <w:sz w:val="28"/>
    </w:rPr>
  </w:style>
  <w:style w:type="paragraph" w:styleId="TOC3">
    <w:name w:val="TOC 3"/>
    <w:link w:val="311"/>
    <w:uiPriority w:val="39"/>
    <w:pPr>
      <w:widowControl/>
      <w:bidi w:val="0"/>
      <w:spacing w:lineRule="auto" w:line="264" w:before="0" w:after="160"/>
      <w:ind w:left="400"/>
      <w:jc w:val="left"/>
    </w:pPr>
    <w:rPr>
      <w:rFonts w:ascii="XO Thames" w:hAnsi="XO Thames" w:eastAsia="Times New Roman" w:cs="Times New Roman"/>
      <w:color w:val="000000"/>
      <w:kern w:val="0"/>
      <w:sz w:val="28"/>
      <w:szCs w:val="20"/>
      <w:lang w:val="ru-RU" w:eastAsia="ru-RU" w:bidi="ar-SA"/>
    </w:rPr>
  </w:style>
  <w:style w:type="paragraph" w:styleId="Heading2Char1" w:customStyle="1">
    <w:name w:val="Heading 2 Char1"/>
    <w:basedOn w:val="27"/>
    <w:link w:val="Heading2Char"/>
    <w:qFormat/>
    <w:pPr/>
    <w:rPr>
      <w:rFonts w:ascii="Arial" w:hAnsi="Arial"/>
      <w:sz w:val="34"/>
    </w:rPr>
  </w:style>
  <w:style w:type="paragraph" w:styleId="PlainText">
    <w:name w:val="Plain Text"/>
    <w:basedOn w:val="Normal"/>
    <w:link w:val="16"/>
    <w:qFormat/>
    <w:pPr>
      <w:spacing w:lineRule="auto" w:line="240" w:before="0" w:after="0"/>
    </w:pPr>
    <w:rPr>
      <w:rFonts w:ascii="Calibri" w:hAnsi="Calibri"/>
    </w:rPr>
  </w:style>
  <w:style w:type="paragraph" w:styleId="521" w:customStyle="1">
    <w:name w:val="Заголовок 5 Знак2"/>
    <w:link w:val="5"/>
    <w:qFormat/>
    <w:pPr>
      <w:widowControl/>
      <w:bidi w:val="0"/>
      <w:spacing w:before="0" w:after="0"/>
      <w:jc w:val="left"/>
    </w:pPr>
    <w:rPr>
      <w:rFonts w:ascii="XO Thames" w:hAnsi="XO Thames" w:eastAsia="Times New Roman" w:cs="Times New Roman"/>
      <w:b/>
      <w:color w:val="000000"/>
      <w:kern w:val="0"/>
      <w:sz w:val="22"/>
      <w:szCs w:val="20"/>
      <w:lang w:val="ru-RU" w:eastAsia="ru-RU" w:bidi="ar-SA"/>
    </w:rPr>
  </w:style>
  <w:style w:type="paragraph" w:styleId="FooterChar1" w:customStyle="1">
    <w:name w:val="Footer Char1"/>
    <w:basedOn w:val="27"/>
    <w:link w:val="FooterChar"/>
    <w:qFormat/>
    <w:pPr/>
    <w:rPr/>
  </w:style>
  <w:style w:type="paragraph" w:styleId="27" w:customStyle="1">
    <w:name w:val="Основной шрифт абзаца2"/>
    <w:qFormat/>
    <w:pPr>
      <w:widowControl/>
      <w:bidi w:val="0"/>
      <w:spacing w:before="0" w:after="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TableofFigures">
    <w:name w:val="Table of Figures"/>
    <w:basedOn w:val="Normal"/>
    <w:link w:val="Style13"/>
    <w:pPr>
      <w:spacing w:before="0" w:after="0"/>
    </w:pPr>
    <w:rPr/>
  </w:style>
  <w:style w:type="paragraph" w:styleId="92" w:customStyle="1">
    <w:name w:val="Оглавление 9 Знак2"/>
    <w:link w:val="91"/>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CaptionChar1" w:customStyle="1">
    <w:name w:val="Caption Char1"/>
    <w:link w:val="CaptionChar"/>
    <w:qFormat/>
    <w:pPr>
      <w:widowControl/>
      <w:bidi w:val="0"/>
      <w:spacing w:before="0" w:after="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82" w:customStyle="1">
    <w:name w:val="Оглавление 8 Знак2"/>
    <w:link w:val="8"/>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221" w:customStyle="1">
    <w:name w:val="Оглавление 2 Знак2"/>
    <w:link w:val="2"/>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28" w:customStyle="1">
    <w:name w:val="Текст выноски Знак2"/>
    <w:basedOn w:val="116"/>
    <w:link w:val="Style14"/>
    <w:qFormat/>
    <w:pPr/>
    <w:rPr>
      <w:rFonts w:ascii="Segoe UI" w:hAnsi="Segoe UI"/>
      <w:sz w:val="18"/>
    </w:rPr>
  </w:style>
  <w:style w:type="paragraph" w:styleId="Heading7Char1" w:customStyle="1">
    <w:name w:val="Heading 7 Char1"/>
    <w:basedOn w:val="27"/>
    <w:link w:val="Heading7Char"/>
    <w:qFormat/>
    <w:pPr/>
    <w:rPr>
      <w:rFonts w:ascii="Arial" w:hAnsi="Arial"/>
      <w:b/>
      <w:i/>
    </w:rPr>
  </w:style>
  <w:style w:type="paragraph" w:styleId="119" w:customStyle="1">
    <w:name w:val="Гиперссылка11"/>
    <w:link w:val="113"/>
    <w:qFormat/>
    <w:pPr>
      <w:widowControl/>
      <w:bidi w:val="0"/>
      <w:spacing w:lineRule="auto" w:line="264" w:before="0" w:after="160"/>
      <w:jc w:val="left"/>
    </w:pPr>
    <w:rPr>
      <w:rFonts w:ascii="Calibri" w:hAnsi="Calibri" w:eastAsia="Times New Roman" w:cs="Times New Roman"/>
      <w:color w:themeColor="hyperlink" w:val="0563C1"/>
      <w:kern w:val="0"/>
      <w:sz w:val="22"/>
      <w:szCs w:val="20"/>
      <w:u w:val="single"/>
      <w:lang w:val="ru-RU" w:eastAsia="ru-RU" w:bidi="ar-SA"/>
    </w:rPr>
  </w:style>
  <w:style w:type="paragraph" w:styleId="Footnote2" w:customStyle="1">
    <w:name w:val="Footnote2"/>
    <w:link w:val="Footnote"/>
    <w:qFormat/>
    <w:pPr>
      <w:widowControl/>
      <w:bidi w:val="0"/>
      <w:spacing w:before="0" w:after="0"/>
      <w:jc w:val="left"/>
    </w:pPr>
    <w:rPr>
      <w:rFonts w:ascii="XO Thames" w:hAnsi="XO Thames" w:eastAsia="Times New Roman" w:cs="Times New Roman"/>
      <w:color w:val="000000"/>
      <w:kern w:val="0"/>
      <w:sz w:val="22"/>
      <w:szCs w:val="20"/>
      <w:lang w:val="ru-RU" w:eastAsia="ru-RU" w:bidi="ar-SA"/>
    </w:rPr>
  </w:style>
  <w:style w:type="paragraph" w:styleId="Heading4Char1" w:customStyle="1">
    <w:name w:val="Heading 4 Char1"/>
    <w:basedOn w:val="27"/>
    <w:link w:val="Heading4Char"/>
    <w:qFormat/>
    <w:pPr/>
    <w:rPr>
      <w:rFonts w:ascii="Arial" w:hAnsi="Arial"/>
      <w:b/>
      <w:sz w:val="26"/>
    </w:rPr>
  </w:style>
  <w:style w:type="paragraph" w:styleId="TOC1">
    <w:name w:val="TOC 1"/>
    <w:link w:val="112"/>
    <w:uiPriority w:val="39"/>
    <w:pPr>
      <w:widowControl/>
      <w:bidi w:val="0"/>
      <w:spacing w:lineRule="auto" w:line="264" w:before="0" w:after="160"/>
      <w:jc w:val="left"/>
    </w:pPr>
    <w:rPr>
      <w:rFonts w:ascii="XO Thames" w:hAnsi="XO Thames" w:eastAsia="Times New Roman" w:cs="Times New Roman"/>
      <w:b/>
      <w:color w:val="000000"/>
      <w:kern w:val="0"/>
      <w:sz w:val="28"/>
      <w:szCs w:val="20"/>
      <w:lang w:val="ru-RU" w:eastAsia="ru-RU" w:bidi="ar-SA"/>
    </w:rPr>
  </w:style>
  <w:style w:type="paragraph" w:styleId="120" w:customStyle="1">
    <w:name w:val="Знак сноски1"/>
    <w:qFormat/>
    <w:pPr>
      <w:widowControl/>
      <w:bidi w:val="0"/>
      <w:spacing w:before="0" w:after="0"/>
      <w:jc w:val="left"/>
    </w:pPr>
    <w:rPr>
      <w:rFonts w:ascii="Calibri" w:hAnsi="Calibri" w:eastAsia="Times New Roman" w:cs="Times New Roman" w:asciiTheme="minorHAnsi" w:hAnsiTheme="minorHAnsi"/>
      <w:color w:val="000000"/>
      <w:kern w:val="0"/>
      <w:sz w:val="22"/>
      <w:szCs w:val="20"/>
      <w:vertAlign w:val="superscript"/>
      <w:lang w:val="ru-RU" w:eastAsia="ru-RU" w:bidi="ar-SA"/>
    </w:rPr>
  </w:style>
  <w:style w:type="paragraph" w:styleId="Heading8Char1" w:customStyle="1">
    <w:name w:val="Heading 8 Char1"/>
    <w:basedOn w:val="27"/>
    <w:link w:val="Heading8Char"/>
    <w:qFormat/>
    <w:pPr/>
    <w:rPr>
      <w:rFonts w:ascii="Arial" w:hAnsi="Arial"/>
      <w:i/>
    </w:rPr>
  </w:style>
  <w:style w:type="paragraph" w:styleId="FootnoteText">
    <w:name w:val="Footnote Text"/>
    <w:basedOn w:val="Normal"/>
    <w:link w:val="Style17"/>
    <w:pPr>
      <w:spacing w:lineRule="auto" w:line="240" w:before="0" w:after="40"/>
    </w:pPr>
    <w:rPr>
      <w:sz w:val="18"/>
    </w:rPr>
  </w:style>
  <w:style w:type="paragraph" w:styleId="ListParagraph">
    <w:name w:val="List Paragraph"/>
    <w:basedOn w:val="Normal"/>
    <w:link w:val="Style18"/>
    <w:qFormat/>
    <w:pPr>
      <w:spacing w:before="0" w:after="160"/>
      <w:ind w:left="720"/>
      <w:contextualSpacing/>
    </w:pPr>
    <w:rPr/>
  </w:style>
  <w:style w:type="paragraph" w:styleId="Footnote11" w:customStyle="1">
    <w:name w:val="Footnote11"/>
    <w:link w:val="Footnote1"/>
    <w:qFormat/>
    <w:pPr>
      <w:widowControl/>
      <w:bidi w:val="0"/>
      <w:spacing w:lineRule="auto" w:line="264" w:before="0" w:after="160"/>
      <w:ind w:firstLine="851"/>
      <w:jc w:val="both"/>
    </w:pPr>
    <w:rPr>
      <w:rFonts w:ascii="XO Thames" w:hAnsi="XO Thames" w:eastAsia="Times New Roman" w:cs="Times New Roman"/>
      <w:color w:val="000000"/>
      <w:kern w:val="0"/>
      <w:sz w:val="22"/>
      <w:szCs w:val="20"/>
      <w:lang w:val="ru-RU" w:eastAsia="ru-RU" w:bidi="ar-SA"/>
    </w:rPr>
  </w:style>
  <w:style w:type="paragraph" w:styleId="FootnoteTextChar1" w:customStyle="1">
    <w:name w:val="Footnote Text Char1"/>
    <w:link w:val="FootnoteTextChar"/>
    <w:qFormat/>
    <w:pPr>
      <w:widowControl/>
      <w:bidi w:val="0"/>
      <w:spacing w:before="0" w:after="0"/>
      <w:jc w:val="left"/>
    </w:pPr>
    <w:rPr>
      <w:rFonts w:ascii="Calibri" w:hAnsi="Calibri" w:eastAsia="Times New Roman" w:cs="Times New Roman" w:asciiTheme="minorHAnsi" w:hAnsiTheme="minorHAnsi"/>
      <w:color w:val="000000"/>
      <w:kern w:val="0"/>
      <w:sz w:val="18"/>
      <w:szCs w:val="20"/>
      <w:lang w:val="ru-RU" w:eastAsia="ru-RU" w:bidi="ar-SA"/>
    </w:rPr>
  </w:style>
  <w:style w:type="paragraph" w:styleId="TitleChar1" w:customStyle="1">
    <w:name w:val="Title Char1"/>
    <w:basedOn w:val="27"/>
    <w:link w:val="TitleChar"/>
    <w:qFormat/>
    <w:pPr/>
    <w:rPr>
      <w:sz w:val="48"/>
    </w:rPr>
  </w:style>
  <w:style w:type="paragraph" w:styleId="TOC9">
    <w:name w:val="TOC 9"/>
    <w:uiPriority w:val="39"/>
    <w:pPr>
      <w:widowControl/>
      <w:bidi w:val="0"/>
      <w:spacing w:lineRule="auto" w:line="264" w:before="0" w:after="160"/>
      <w:ind w:left="1600"/>
      <w:jc w:val="left"/>
    </w:pPr>
    <w:rPr>
      <w:rFonts w:ascii="XO Thames" w:hAnsi="XO Thames" w:eastAsia="Times New Roman" w:cs="Times New Roman"/>
      <w:color w:val="000000"/>
      <w:kern w:val="0"/>
      <w:sz w:val="28"/>
      <w:szCs w:val="20"/>
      <w:lang w:val="ru-RU" w:eastAsia="ru-RU" w:bidi="ar-SA"/>
    </w:rPr>
  </w:style>
  <w:style w:type="paragraph" w:styleId="422" w:customStyle="1">
    <w:name w:val="Оглавление 4 Знак2"/>
    <w:link w:val="42"/>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Heading6Char1" w:customStyle="1">
    <w:name w:val="Heading 6 Char1"/>
    <w:basedOn w:val="27"/>
    <w:link w:val="Heading6Char"/>
    <w:qFormat/>
    <w:pPr/>
    <w:rPr>
      <w:rFonts w:ascii="Arial" w:hAnsi="Arial"/>
      <w:b/>
    </w:rPr>
  </w:style>
  <w:style w:type="paragraph" w:styleId="222" w:customStyle="1">
    <w:name w:val="Заголовок 2 Знак2"/>
    <w:link w:val="22"/>
    <w:qFormat/>
    <w:pPr>
      <w:widowControl/>
      <w:bidi w:val="0"/>
      <w:spacing w:before="0" w:after="0"/>
      <w:jc w:val="left"/>
    </w:pPr>
    <w:rPr>
      <w:rFonts w:ascii="XO Thames" w:hAnsi="XO Thames" w:eastAsia="Times New Roman" w:cs="Times New Roman"/>
      <w:b/>
      <w:color w:val="000000"/>
      <w:kern w:val="0"/>
      <w:sz w:val="28"/>
      <w:szCs w:val="20"/>
      <w:lang w:val="ru-RU" w:eastAsia="ru-RU" w:bidi="ar-SA"/>
    </w:rPr>
  </w:style>
  <w:style w:type="paragraph" w:styleId="Heading9Char1" w:customStyle="1">
    <w:name w:val="Heading 9 Char1"/>
    <w:basedOn w:val="27"/>
    <w:link w:val="Heading9Char"/>
    <w:qFormat/>
    <w:pPr/>
    <w:rPr>
      <w:rFonts w:ascii="Arial" w:hAnsi="Arial"/>
      <w:i/>
      <w:sz w:val="21"/>
    </w:rPr>
  </w:style>
  <w:style w:type="paragraph" w:styleId="TOC8">
    <w:name w:val="TOC 8"/>
    <w:link w:val="811"/>
    <w:uiPriority w:val="39"/>
    <w:pPr>
      <w:widowControl/>
      <w:bidi w:val="0"/>
      <w:spacing w:lineRule="auto" w:line="264" w:before="0" w:after="160"/>
      <w:ind w:left="1400"/>
      <w:jc w:val="left"/>
    </w:pPr>
    <w:rPr>
      <w:rFonts w:ascii="XO Thames" w:hAnsi="XO Thames" w:eastAsia="Times New Roman" w:cs="Times New Roman"/>
      <w:color w:val="000000"/>
      <w:kern w:val="0"/>
      <w:sz w:val="28"/>
      <w:szCs w:val="20"/>
      <w:lang w:val="ru-RU" w:eastAsia="ru-RU" w:bidi="ar-SA"/>
    </w:rPr>
  </w:style>
  <w:style w:type="paragraph" w:styleId="123" w:customStyle="1">
    <w:name w:val="Символ концевой сноски1"/>
    <w:link w:val="Style19"/>
    <w:qFormat/>
    <w:pPr>
      <w:widowControl/>
      <w:bidi w:val="0"/>
      <w:spacing w:before="0" w:after="0"/>
      <w:jc w:val="left"/>
    </w:pPr>
    <w:rPr>
      <w:rFonts w:ascii="Calibri" w:hAnsi="Calibri" w:eastAsia="Times New Roman" w:cs="Times New Roman" w:asciiTheme="minorHAnsi" w:hAnsiTheme="minorHAnsi"/>
      <w:color w:val="000000"/>
      <w:kern w:val="0"/>
      <w:sz w:val="22"/>
      <w:szCs w:val="20"/>
      <w:vertAlign w:val="superscript"/>
      <w:lang w:val="ru-RU" w:eastAsia="ru-RU" w:bidi="ar-SA"/>
    </w:rPr>
  </w:style>
  <w:style w:type="paragraph" w:styleId="NoSpacing">
    <w:name w:val="No Spacing"/>
    <w:link w:val="Style20"/>
    <w:qFormat/>
    <w:pPr>
      <w:widowControl/>
      <w:bidi w:val="0"/>
      <w:spacing w:before="0" w:after="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TOC5">
    <w:name w:val="TOC 5"/>
    <w:link w:val="511"/>
    <w:uiPriority w:val="39"/>
    <w:pPr>
      <w:widowControl/>
      <w:bidi w:val="0"/>
      <w:spacing w:lineRule="auto" w:line="264" w:before="0" w:after="160"/>
      <w:ind w:left="800"/>
      <w:jc w:val="left"/>
    </w:pPr>
    <w:rPr>
      <w:rFonts w:ascii="XO Thames" w:hAnsi="XO Thames" w:eastAsia="Times New Roman" w:cs="Times New Roman"/>
      <w:color w:val="000000"/>
      <w:kern w:val="0"/>
      <w:sz w:val="28"/>
      <w:szCs w:val="20"/>
      <w:lang w:val="ru-RU" w:eastAsia="ru-RU" w:bidi="ar-SA"/>
    </w:rPr>
  </w:style>
  <w:style w:type="paragraph" w:styleId="QuoteChar1" w:customStyle="1">
    <w:name w:val="Quote Char1"/>
    <w:link w:val="QuoteChar"/>
    <w:qFormat/>
    <w:pPr>
      <w:widowControl/>
      <w:bidi w:val="0"/>
      <w:spacing w:before="0" w:after="0"/>
      <w:jc w:val="left"/>
    </w:pPr>
    <w:rPr>
      <w:rFonts w:ascii="Calibri" w:hAnsi="Calibri" w:eastAsia="Times New Roman" w:cs="Times New Roman" w:asciiTheme="minorHAnsi" w:hAnsiTheme="minorHAnsi"/>
      <w:i/>
      <w:color w:val="000000"/>
      <w:kern w:val="0"/>
      <w:sz w:val="22"/>
      <w:szCs w:val="20"/>
      <w:lang w:val="ru-RU" w:eastAsia="ru-RU" w:bidi="ar-SA"/>
    </w:rPr>
  </w:style>
  <w:style w:type="paragraph" w:styleId="29" w:customStyle="1">
    <w:name w:val="Нижний колонтитул Знак2"/>
    <w:basedOn w:val="116"/>
    <w:link w:val="Style21"/>
    <w:qFormat/>
    <w:pPr/>
    <w:rPr>
      <w:rFonts w:ascii="Times New Roman" w:hAnsi="Times New Roman"/>
      <w:sz w:val="28"/>
    </w:rPr>
  </w:style>
  <w:style w:type="paragraph" w:styleId="210" w:customStyle="1">
    <w:name w:val="Подзаголовок Знак2"/>
    <w:link w:val="Style22"/>
    <w:qFormat/>
    <w:pPr>
      <w:widowControl/>
      <w:bidi w:val="0"/>
      <w:spacing w:before="0" w:after="0"/>
      <w:jc w:val="left"/>
    </w:pPr>
    <w:rPr>
      <w:rFonts w:ascii="XO Thames" w:hAnsi="XO Thames" w:eastAsia="Times New Roman" w:cs="Times New Roman"/>
      <w:i/>
      <w:color w:val="000000"/>
      <w:kern w:val="0"/>
      <w:sz w:val="24"/>
      <w:szCs w:val="20"/>
      <w:lang w:val="ru-RU" w:eastAsia="ru-RU" w:bidi="ar-SA"/>
    </w:rPr>
  </w:style>
  <w:style w:type="paragraph" w:styleId="EndnoteText">
    <w:name w:val="Endnote Text"/>
    <w:basedOn w:val="Normal"/>
    <w:link w:val="Style23"/>
    <w:pPr>
      <w:spacing w:lineRule="auto" w:line="240" w:before="0" w:after="0"/>
    </w:pPr>
    <w:rPr>
      <w:sz w:val="20"/>
    </w:rPr>
  </w:style>
  <w:style w:type="paragraph" w:styleId="Header">
    <w:name w:val="Header"/>
    <w:basedOn w:val="Normal"/>
    <w:link w:val="17"/>
    <w:uiPriority w:val="99"/>
    <w:pPr>
      <w:tabs>
        <w:tab w:val="clear" w:pos="708"/>
        <w:tab w:val="center" w:pos="4677" w:leader="none"/>
        <w:tab w:val="right" w:pos="9355" w:leader="none"/>
      </w:tabs>
      <w:spacing w:lineRule="auto" w:line="240" w:before="0" w:after="0"/>
    </w:pPr>
    <w:rPr/>
  </w:style>
  <w:style w:type="paragraph" w:styleId="BalloonText">
    <w:name w:val="Balloon Text"/>
    <w:basedOn w:val="Normal"/>
    <w:link w:val="18"/>
    <w:qFormat/>
    <w:pPr>
      <w:spacing w:lineRule="auto" w:line="240" w:before="0" w:after="0"/>
    </w:pPr>
    <w:rPr>
      <w:rFonts w:ascii="Segoe UI" w:hAnsi="Segoe UI"/>
      <w:sz w:val="18"/>
    </w:rPr>
  </w:style>
  <w:style w:type="paragraph" w:styleId="IndexHeading">
    <w:name w:val="Index Heading"/>
    <w:basedOn w:val="1111"/>
    <w:pPr/>
    <w:rPr/>
  </w:style>
  <w:style w:type="paragraph" w:styleId="TOCHeading">
    <w:name w:val="TOC Heading"/>
    <w:link w:val="Style24"/>
    <w:qFormat/>
    <w:pPr>
      <w:widowControl/>
      <w:bidi w:val="0"/>
      <w:spacing w:lineRule="auto" w:line="264" w:before="0" w:after="160"/>
      <w:jc w:val="left"/>
    </w:pPr>
    <w:rPr>
      <w:rFonts w:ascii="Calibri" w:hAnsi="Calibri" w:eastAsia="Times New Roman" w:cs="Times New Roman" w:asciiTheme="minorHAnsi" w:hAnsiTheme="minorHAnsi"/>
      <w:color w:val="000000"/>
      <w:kern w:val="0"/>
      <w:sz w:val="22"/>
      <w:szCs w:val="20"/>
      <w:lang w:val="ru-RU" w:eastAsia="ru-RU" w:bidi="ar-SA"/>
    </w:rPr>
  </w:style>
  <w:style w:type="paragraph" w:styleId="Heading5Char1" w:customStyle="1">
    <w:name w:val="Heading 5 Char1"/>
    <w:basedOn w:val="27"/>
    <w:link w:val="Heading5Char"/>
    <w:qFormat/>
    <w:pPr/>
    <w:rPr>
      <w:rFonts w:ascii="Arial" w:hAnsi="Arial"/>
      <w:b/>
      <w:sz w:val="24"/>
    </w:rPr>
  </w:style>
  <w:style w:type="paragraph" w:styleId="124" w:customStyle="1">
    <w:name w:val="Символ сноски1"/>
    <w:link w:val="Style16"/>
    <w:qFormat/>
    <w:pPr>
      <w:widowControl/>
      <w:bidi w:val="0"/>
      <w:spacing w:before="0" w:after="0"/>
      <w:jc w:val="left"/>
    </w:pPr>
    <w:rPr>
      <w:rFonts w:ascii="Calibri" w:hAnsi="Calibri" w:eastAsia="Times New Roman" w:cs="Times New Roman" w:asciiTheme="minorHAnsi" w:hAnsiTheme="minorHAnsi"/>
      <w:color w:val="000000"/>
      <w:kern w:val="0"/>
      <w:sz w:val="22"/>
      <w:szCs w:val="20"/>
      <w:vertAlign w:val="superscript"/>
      <w:lang w:val="ru-RU" w:eastAsia="ru-RU" w:bidi="ar-SA"/>
    </w:rPr>
  </w:style>
  <w:style w:type="paragraph" w:styleId="Subtitle">
    <w:name w:val="Subtitle"/>
    <w:link w:val="19"/>
    <w:uiPriority w:val="11"/>
    <w:qFormat/>
    <w:pPr>
      <w:widowControl/>
      <w:bidi w:val="0"/>
      <w:spacing w:lineRule="auto" w:line="264" w:before="0" w:after="160"/>
      <w:jc w:val="both"/>
    </w:pPr>
    <w:rPr>
      <w:rFonts w:ascii="XO Thames" w:hAnsi="XO Thames" w:eastAsia="Times New Roman" w:cs="Times New Roman"/>
      <w:i/>
      <w:color w:val="000000"/>
      <w:kern w:val="0"/>
      <w:sz w:val="24"/>
      <w:szCs w:val="20"/>
      <w:lang w:val="ru-RU" w:eastAsia="ru-RU" w:bidi="ar-SA"/>
    </w:rPr>
  </w:style>
  <w:style w:type="paragraph" w:styleId="621" w:customStyle="1">
    <w:name w:val="Оглавление 6 Знак2"/>
    <w:link w:val="6"/>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Title">
    <w:name w:val="Title"/>
    <w:link w:val="110"/>
    <w:uiPriority w:val="10"/>
    <w:qFormat/>
    <w:pPr>
      <w:widowControl/>
      <w:bidi w:val="0"/>
      <w:spacing w:lineRule="auto" w:line="264" w:before="567" w:after="567"/>
      <w:jc w:val="center"/>
    </w:pPr>
    <w:rPr>
      <w:rFonts w:ascii="XO Thames" w:hAnsi="XO Thames" w:eastAsia="Times New Roman" w:cs="Times New Roman"/>
      <w:b/>
      <w:caps/>
      <w:color w:val="000000"/>
      <w:kern w:val="0"/>
      <w:sz w:val="40"/>
      <w:szCs w:val="20"/>
      <w:lang w:val="ru-RU" w:eastAsia="ru-RU" w:bidi="ar-SA"/>
    </w:rPr>
  </w:style>
  <w:style w:type="paragraph" w:styleId="Quote">
    <w:name w:val="Quote"/>
    <w:basedOn w:val="Normal"/>
    <w:link w:val="23"/>
    <w:qFormat/>
    <w:pPr>
      <w:ind w:left="720" w:right="720"/>
    </w:pPr>
    <w:rPr>
      <w:i/>
    </w:rPr>
  </w:style>
  <w:style w:type="paragraph" w:styleId="Heading1Char1" w:customStyle="1">
    <w:name w:val="Heading 1 Char1"/>
    <w:basedOn w:val="27"/>
    <w:link w:val="Heading1Char"/>
    <w:qFormat/>
    <w:pPr/>
    <w:rPr>
      <w:rFonts w:ascii="Arial" w:hAnsi="Arial"/>
      <w:sz w:val="40"/>
    </w:rPr>
  </w:style>
  <w:style w:type="paragraph" w:styleId="ConsPlusNormal1" w:customStyle="1">
    <w:name w:val="ConsPlusNormal1"/>
    <w:link w:val="ConsPlusNormal"/>
    <w:qFormat/>
    <w:pPr>
      <w:widowControl w:val="false"/>
      <w:bidi w:val="0"/>
      <w:spacing w:before="0" w:after="0"/>
      <w:jc w:val="left"/>
    </w:pPr>
    <w:rPr>
      <w:rFonts w:ascii="Times New Roman" w:hAnsi="Times New Roman" w:eastAsia="Times New Roman" w:cs="Times New Roman"/>
      <w:color w:val="000000"/>
      <w:kern w:val="0"/>
      <w:sz w:val="24"/>
      <w:szCs w:val="20"/>
      <w:lang w:val="ru-RU" w:eastAsia="ru-RU" w:bidi="ar-SA"/>
    </w:rPr>
  </w:style>
  <w:style w:type="paragraph" w:styleId="522" w:customStyle="1">
    <w:name w:val="Оглавление 5 Знак2"/>
    <w:link w:val="52"/>
    <w:qFormat/>
    <w:pPr>
      <w:widowControl/>
      <w:bidi w:val="0"/>
      <w:spacing w:before="0" w:after="0"/>
      <w:jc w:val="left"/>
    </w:pPr>
    <w:rPr>
      <w:rFonts w:ascii="XO Thames" w:hAnsi="XO Thames" w:eastAsia="Times New Roman" w:cs="Times New Roman"/>
      <w:color w:val="000000"/>
      <w:kern w:val="0"/>
      <w:sz w:val="28"/>
      <w:szCs w:val="20"/>
      <w:lang w:val="ru-RU" w:eastAsia="ru-RU" w:bidi="ar-SA"/>
    </w:rPr>
  </w:style>
  <w:style w:type="paragraph" w:styleId="212" w:customStyle="1">
    <w:name w:val="Текст Знак2"/>
    <w:basedOn w:val="116"/>
    <w:link w:val="Style25"/>
    <w:qFormat/>
    <w:pPr/>
    <w:rPr>
      <w:rFonts w:ascii="Calibri" w:hAnsi="Calibri"/>
    </w:rPr>
  </w:style>
  <w:style w:type="paragraph" w:styleId="125" w:customStyle="1">
    <w:name w:val="Знак концевой сноски1"/>
    <w:qFormat/>
    <w:pPr>
      <w:widowControl/>
      <w:bidi w:val="0"/>
      <w:spacing w:before="0" w:after="0"/>
      <w:jc w:val="left"/>
    </w:pPr>
    <w:rPr>
      <w:rFonts w:ascii="Calibri" w:hAnsi="Calibri" w:eastAsia="Times New Roman" w:cs="Times New Roman" w:asciiTheme="minorHAnsi" w:hAnsiTheme="minorHAnsi"/>
      <w:color w:val="000000"/>
      <w:kern w:val="0"/>
      <w:sz w:val="22"/>
      <w:szCs w:val="20"/>
      <w:vertAlign w:val="superscript"/>
      <w:lang w:val="ru-RU" w:eastAsia="ru-RU" w:bidi="ar-SA"/>
    </w:rPr>
  </w:style>
  <w:style w:type="paragraph" w:styleId="ConsPlusNormal11" w:customStyle="1">
    <w:name w:val="ConsPlusNormal11"/>
    <w:link w:val="Style20"/>
    <w:qFormat/>
    <w:pPr>
      <w:keepNext w:val="false"/>
      <w:keepLines w:val="false"/>
      <w:pageBreakBefore w:val="false"/>
      <w:widowControl w:val="false"/>
      <w:shd w:val="nil" w:color="000000"/>
      <w:bidi w:val="0"/>
      <w:spacing w:lineRule="auto" w:line="240" w:beforeAutospacing="0" w:before="0" w:afterAutospacing="0" w:after="0"/>
      <w:ind w:hanging="0" w:left="0" w:right="0"/>
      <w:jc w:val="left"/>
    </w:pPr>
    <w:rPr>
      <w:rFonts w:ascii="Times New Roman" w:hAnsi="Times New Roman" w:eastAsia="Tahoma" w:cs="Lohit Devanagari"/>
      <w:b w:val="false"/>
      <w:bCs w:val="false"/>
      <w:i w:val="false"/>
      <w:iCs w:val="false"/>
      <w:caps w:val="false"/>
      <w:smallCaps w:val="false"/>
      <w:strike w:val="false"/>
      <w:dstrike w:val="false"/>
      <w:vanish w:val="false"/>
      <w:color w:val="000000"/>
      <w:spacing w:val="0"/>
      <w:kern w:val="0"/>
      <w:position w:val="0"/>
      <w:sz w:val="24"/>
      <w:sz w:val="24"/>
      <w:szCs w:val="20"/>
      <w:u w:val="none"/>
      <w:vertAlign w:val="baseline"/>
      <w:lang w:val="ru-RU" w:eastAsia="zh-CN" w:bidi="hi-IN"/>
      <w14:ligatures w14:val="none"/>
    </w:rPr>
  </w:style>
  <w:style w:type="paragraph" w:styleId="Style27">
    <w:name w:val="Содержимое врезки"/>
    <w:basedOn w:val="Normal"/>
    <w:qFormat/>
    <w:pPr/>
    <w:rPr/>
  </w:style>
  <w:style w:type="numbering" w:styleId="NoList" w:default="1">
    <w:name w:val="No List"/>
    <w:uiPriority w:val="99"/>
    <w:semiHidden/>
    <w:unhideWhenUsed/>
    <w:qFormat/>
  </w:style>
  <w:style w:type="table" w:default="1" w:styleId="839">
    <w:name w:val="Normal Table"/>
    <w:uiPriority w:val="99"/>
    <w:semiHidden/>
    <w:unhideWhenUsed/>
    <w:tblPr>
      <w:tblCellMar>
        <w:left w:w="108" w:type="dxa"/>
        <w:top w:w="0" w:type="dxa"/>
        <w:right w:w="108" w:type="dxa"/>
        <w:bottom w:w="0" w:type="dxa"/>
      </w:tblCellMar>
    </w:tblPr>
  </w:style>
  <w:style w:type="table" w:customStyle="1" w:styleId="840">
    <w:name w:val="List Table 1 Light - Accent 3"/>
    <w:tblPr>
      <w:tblCellMar>
        <w:left w:w="0" w:type="dxa"/>
        <w:top w:w="0" w:type="dxa"/>
        <w:right w:w="0" w:type="dxa"/>
        <w:bottom w:w="0" w:type="dxa"/>
      </w:tblCellMar>
    </w:tblPr>
  </w:style>
  <w:style w:type="table" w:styleId="841">
    <w:name w:val="Grid Table 4"/>
    <w:tblPr>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style>
  <w:style w:type="table" w:customStyle="1" w:styleId="842">
    <w:name w:val="Bordered - Accent 3"/>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style>
  <w:style w:type="table" w:customStyle="1" w:styleId="843">
    <w:name w:val="Bordered - Accent 4"/>
    <w:tblPr>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style>
  <w:style w:type="table" w:customStyle="1" w:styleId="844">
    <w:name w:val="List Table 4 - Accent 1"/>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CellMar>
        <w:left w:w="0" w:type="dxa"/>
        <w:top w:w="0" w:type="dxa"/>
        <w:right w:w="0" w:type="dxa"/>
        <w:bottom w:w="0" w:type="dxa"/>
      </w:tblCellMar>
    </w:tblPr>
  </w:style>
  <w:style w:type="table" w:customStyle="1" w:styleId="845">
    <w:name w:val="Lined - Accent 6"/>
    <w:tblPr>
      <w:tblCellMar>
        <w:left w:w="0" w:type="dxa"/>
        <w:top w:w="0" w:type="dxa"/>
        <w:right w:w="0" w:type="dxa"/>
        <w:bottom w:w="0" w:type="dxa"/>
      </w:tblCellMar>
    </w:tblPr>
  </w:style>
  <w:style w:type="table" w:customStyle="1" w:styleId="846">
    <w:name w:val="Bordered &amp; Lined - Accent 3"/>
    <w:tblPr>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CellMar>
        <w:left w:w="0" w:type="dxa"/>
        <w:top w:w="0" w:type="dxa"/>
        <w:right w:w="0" w:type="dxa"/>
        <w:bottom w:w="0" w:type="dxa"/>
      </w:tblCellMar>
    </w:tblPr>
  </w:style>
  <w:style w:type="table" w:customStyle="1" w:styleId="847">
    <w:name w:val="List Table 7 Colorful - Accent 3"/>
    <w:tblPr>
      <w:tblBorders>
        <w:right w:val="single" w:color="C9C9C9" w:themeColor="accent3" w:themeTint="98" w:sz="4" w:space="0"/>
      </w:tblBorders>
      <w:tblCellMar>
        <w:left w:w="0" w:type="dxa"/>
        <w:top w:w="0" w:type="dxa"/>
        <w:right w:w="0" w:type="dxa"/>
        <w:bottom w:w="0" w:type="dxa"/>
      </w:tblCellMar>
    </w:tblPr>
  </w:style>
  <w:style w:type="table" w:customStyle="1" w:styleId="848">
    <w:name w:val="List Table 4 - Accent 5"/>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CellMar>
        <w:left w:w="0" w:type="dxa"/>
        <w:top w:w="0" w:type="dxa"/>
        <w:right w:w="0" w:type="dxa"/>
        <w:bottom w:w="0" w:type="dxa"/>
      </w:tblCellMar>
    </w:tblPr>
  </w:style>
  <w:style w:type="table" w:customStyle="1" w:styleId="849">
    <w:name w:val="Grid Table 4 - Accent 1"/>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CellMar>
        <w:left w:w="0" w:type="dxa"/>
        <w:top w:w="0" w:type="dxa"/>
        <w:right w:w="0" w:type="dxa"/>
        <w:bottom w:w="0" w:type="dxa"/>
      </w:tblCellMar>
    </w:tblPr>
  </w:style>
  <w:style w:type="table" w:customStyle="1" w:styleId="850">
    <w:name w:val="Grid Table 3 - Accent 6"/>
    <w:tblPr>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style>
  <w:style w:type="table" w:customStyle="1" w:styleId="851">
    <w:name w:val="Grid Table 7 Colorful - Accent 5"/>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style>
  <w:style w:type="table" w:customStyle="1" w:styleId="852">
    <w:name w:val="List Table 2 - Accent 4"/>
    <w:tblPr>
      <w:tblBorders>
        <w:top w:val="single" w:color="FFDB6F" w:themeColor="accent4" w:themeTint="90" w:sz="4" w:space="0"/>
        <w:bottom w:val="single" w:color="FFDB6F" w:themeColor="accent4" w:themeTint="90" w:sz="4" w:space="0"/>
        <w:insideH w:val="single" w:color="FFDB6F" w:themeColor="accent4" w:themeTint="90" w:sz="4" w:space="0"/>
      </w:tblBorders>
      <w:tblCellMar>
        <w:left w:w="0" w:type="dxa"/>
        <w:top w:w="0" w:type="dxa"/>
        <w:right w:w="0" w:type="dxa"/>
        <w:bottom w:w="0" w:type="dxa"/>
      </w:tblCellMar>
    </w:tblPr>
  </w:style>
  <w:style w:type="table" w:customStyle="1" w:styleId="853">
    <w:name w:val="Grid Table 4 - Accent 6"/>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style>
  <w:style w:type="table" w:customStyle="1" w:styleId="854">
    <w:name w:val="Lined - Accent 2"/>
    <w:tblPr>
      <w:tblCellMar>
        <w:left w:w="0" w:type="dxa"/>
        <w:top w:w="0" w:type="dxa"/>
        <w:right w:w="0" w:type="dxa"/>
        <w:bottom w:w="0" w:type="dxa"/>
      </w:tblCellMar>
    </w:tblPr>
  </w:style>
  <w:style w:type="table" w:customStyle="1" w:styleId="855">
    <w:name w:val="Lined - Accent"/>
    <w:tblPr>
      <w:tblCellMar>
        <w:left w:w="0" w:type="dxa"/>
        <w:top w:w="0" w:type="dxa"/>
        <w:right w:w="0" w:type="dxa"/>
        <w:bottom w:w="0" w:type="dxa"/>
      </w:tblCellMar>
    </w:tblPr>
  </w:style>
  <w:style w:type="table" w:customStyle="1" w:styleId="856">
    <w:name w:val="Grid Table 7 Colorful - Accent 3"/>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style>
  <w:style w:type="table" w:customStyle="1" w:styleId="857">
    <w:name w:val="List Table 1 Light - Accent 4"/>
    <w:tblPr>
      <w:tblCellMar>
        <w:left w:w="0" w:type="dxa"/>
        <w:top w:w="0" w:type="dxa"/>
        <w:right w:w="0" w:type="dxa"/>
        <w:bottom w:w="0" w:type="dxa"/>
      </w:tblCellMar>
    </w:tblPr>
  </w:style>
  <w:style w:type="table" w:customStyle="1" w:styleId="858">
    <w:name w:val="Grid Table 1 Light - Accent 4"/>
    <w:tblPr>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style>
  <w:style w:type="table" w:styleId="859">
    <w:name w:val="Grid Table 2"/>
    <w:tblPr>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style>
  <w:style w:type="table" w:customStyle="1" w:styleId="860">
    <w:name w:val="Grid Table 4 - Accent 2"/>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left w:w="0" w:type="dxa"/>
        <w:top w:w="0" w:type="dxa"/>
        <w:right w:w="0" w:type="dxa"/>
        <w:bottom w:w="0" w:type="dxa"/>
      </w:tblCellMar>
    </w:tblPr>
  </w:style>
  <w:style w:type="table" w:customStyle="1" w:styleId="861">
    <w:name w:val="Grid Table 6 Colorful - Accent 5"/>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style>
  <w:style w:type="table" w:customStyle="1" w:styleId="862">
    <w:name w:val="Grid Table 5 Dark- Accent 1"/>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styleId="863">
    <w:name w:val="Plain Table 5"/>
    <w:tblPr>
      <w:tblCellMar>
        <w:left w:w="0" w:type="dxa"/>
        <w:top w:w="0" w:type="dxa"/>
        <w:right w:w="0" w:type="dxa"/>
        <w:bottom w:w="0" w:type="dxa"/>
      </w:tblCellMar>
    </w:tblPr>
  </w:style>
  <w:style w:type="table" w:customStyle="1" w:styleId="864">
    <w:name w:val="Grid Table 2 - Accent 6"/>
    <w:tblPr>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style>
  <w:style w:type="table" w:customStyle="1" w:styleId="865">
    <w:name w:val="Grid Table 2 - Accent 2"/>
    <w:tblPr>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style>
  <w:style w:type="table" w:customStyle="1" w:styleId="866">
    <w:name w:val="List Table 2 - Accent 1"/>
    <w:tblPr>
      <w:tblBorders>
        <w:top w:val="single" w:color="A2C6E7" w:themeColor="accent1" w:themeTint="90" w:sz="4" w:space="0"/>
        <w:bottom w:val="single" w:color="A2C6E7" w:themeColor="accent1" w:themeTint="90" w:sz="4" w:space="0"/>
        <w:insideH w:val="single" w:color="A2C6E7" w:themeColor="accent1" w:themeTint="90" w:sz="4" w:space="0"/>
      </w:tblBorders>
      <w:tblCellMar>
        <w:left w:w="0" w:type="dxa"/>
        <w:top w:w="0" w:type="dxa"/>
        <w:right w:w="0" w:type="dxa"/>
        <w:bottom w:w="0" w:type="dxa"/>
      </w:tblCellMar>
    </w:tblPr>
  </w:style>
  <w:style w:type="table" w:customStyle="1" w:styleId="867">
    <w:name w:val="Grid Table 7 Colorful - Accent 1"/>
    <w:tblPr>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style>
  <w:style w:type="table" w:customStyle="1" w:styleId="868">
    <w:name w:val="Grid Table 3 - Accent 4"/>
    <w:tblPr>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style>
  <w:style w:type="table" w:customStyle="1" w:styleId="869">
    <w:name w:val="Grid Table 7 Colorful - Accent 6"/>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style>
  <w:style w:type="table" w:customStyle="1" w:styleId="870">
    <w:name w:val="Grid Table 6 Colorful - Accent 3"/>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style>
  <w:style w:type="table" w:customStyle="1" w:styleId="871">
    <w:name w:val="Grid Table 2 - Accent 5"/>
    <w:tblPr>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style>
  <w:style w:type="table" w:customStyle="1" w:styleId="872">
    <w:name w:val="Grid Table 5 Dark - Accent 5"/>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873">
    <w:name w:val="List Table 7 Colorful - Accent 6"/>
    <w:tblPr>
      <w:tblBorders>
        <w:right w:val="single" w:color="A9D08E" w:themeColor="accent6" w:themeTint="98" w:sz="4" w:space="0"/>
      </w:tblBorders>
      <w:tblCellMar>
        <w:left w:w="0" w:type="dxa"/>
        <w:top w:w="0" w:type="dxa"/>
        <w:right w:w="0" w:type="dxa"/>
        <w:bottom w:w="0" w:type="dxa"/>
      </w:tblCellMar>
    </w:tblPr>
  </w:style>
  <w:style w:type="table" w:customStyle="1" w:styleId="874">
    <w:name w:val="List Table 6 Colorful - Accent 2"/>
    <w:tblPr>
      <w:tblBorders>
        <w:top w:val="single" w:color="F4B184" w:themeColor="accent2" w:themeTint="97" w:sz="4" w:space="0"/>
        <w:bottom w:val="single" w:color="F4B184" w:themeColor="accent2" w:themeTint="97" w:sz="4" w:space="0"/>
      </w:tblBorders>
      <w:tblCellMar>
        <w:left w:w="0" w:type="dxa"/>
        <w:top w:w="0" w:type="dxa"/>
        <w:right w:w="0" w:type="dxa"/>
        <w:bottom w:w="0" w:type="dxa"/>
      </w:tblCellMar>
    </w:tblPr>
  </w:style>
  <w:style w:type="table" w:customStyle="1" w:styleId="875">
    <w:name w:val="List Table 3 - Accent 2"/>
    <w:tblPr>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CellMar>
        <w:left w:w="0" w:type="dxa"/>
        <w:top w:w="0" w:type="dxa"/>
        <w:right w:w="0" w:type="dxa"/>
        <w:bottom w:w="0" w:type="dxa"/>
      </w:tblCellMar>
    </w:tblPr>
  </w:style>
  <w:style w:type="table" w:customStyle="1" w:styleId="876">
    <w:name w:val="Bordered - Accent 6"/>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style>
  <w:style w:type="table" w:styleId="877">
    <w:name w:val="Plain Table 4"/>
    <w:tblPr>
      <w:tblCellMar>
        <w:left w:w="0" w:type="dxa"/>
        <w:top w:w="0" w:type="dxa"/>
        <w:right w:w="0" w:type="dxa"/>
        <w:bottom w:w="0" w:type="dxa"/>
      </w:tblCellMar>
    </w:tblPr>
  </w:style>
  <w:style w:type="table" w:customStyle="1" w:styleId="878">
    <w:name w:val="Grid Table 2 - Accent 4"/>
    <w:tblPr>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style>
  <w:style w:type="table" w:customStyle="1" w:styleId="879">
    <w:name w:val="Grid Table 5 Dark - Accent 6"/>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880">
    <w:name w:val="List Table 7 Colorful - Accent 2"/>
    <w:tblPr>
      <w:tblBorders>
        <w:right w:val="single" w:color="F4B184" w:themeColor="accent2" w:themeTint="97" w:sz="4" w:space="0"/>
      </w:tblBorders>
      <w:tblCellMar>
        <w:left w:w="0" w:type="dxa"/>
        <w:top w:w="0" w:type="dxa"/>
        <w:right w:w="0" w:type="dxa"/>
        <w:bottom w:w="0" w:type="dxa"/>
      </w:tblCellMar>
    </w:tblPr>
  </w:style>
  <w:style w:type="table" w:customStyle="1" w:styleId="881">
    <w:name w:val="List Table 4 - Accent 3"/>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left w:w="0" w:type="dxa"/>
        <w:top w:w="0" w:type="dxa"/>
        <w:right w:w="0" w:type="dxa"/>
        <w:bottom w:w="0" w:type="dxa"/>
      </w:tblCellMar>
    </w:tblPr>
  </w:style>
  <w:style w:type="table" w:customStyle="1" w:styleId="882">
    <w:name w:val="Grid Table 3 - Accent 2"/>
    <w:tblPr>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style>
  <w:style w:type="table" w:customStyle="1" w:styleId="883">
    <w:name w:val="List Table 5 Dark - Accent 1"/>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CellMar>
        <w:left w:w="0" w:type="dxa"/>
        <w:top w:w="0" w:type="dxa"/>
        <w:right w:w="0" w:type="dxa"/>
        <w:bottom w:w="0" w:type="dxa"/>
      </w:tblCellMar>
    </w:tblPr>
  </w:style>
  <w:style w:type="table" w:styleId="884">
    <w:name w:val="List Table 1 Light"/>
    <w:tblPr>
      <w:tblCellMar>
        <w:left w:w="0" w:type="dxa"/>
        <w:top w:w="0" w:type="dxa"/>
        <w:right w:w="0" w:type="dxa"/>
        <w:bottom w:w="0" w:type="dxa"/>
      </w:tblCellMar>
    </w:tblPr>
  </w:style>
  <w:style w:type="table" w:customStyle="1" w:styleId="885">
    <w:name w:val="List Table 7 Colorful - Accent 5"/>
    <w:tblPr>
      <w:tblBorders>
        <w:right w:val="single" w:color="8DA9DB" w:themeColor="accent5" w:themeTint="9a" w:sz="4" w:space="0"/>
      </w:tblBorders>
      <w:tblCellMar>
        <w:left w:w="0" w:type="dxa"/>
        <w:top w:w="0" w:type="dxa"/>
        <w:right w:w="0" w:type="dxa"/>
        <w:bottom w:w="0" w:type="dxa"/>
      </w:tblCellMar>
    </w:tblPr>
  </w:style>
  <w:style w:type="table" w:styleId="886">
    <w:name w:val="Plain Table 2"/>
    <w:tblPr>
      <w:tblBorders>
        <w:top w:val="single" w:color="000000" w:themeColor="text1" w:sz="4" w:space="0"/>
        <w:left w:val="none" w:color="000000" w:sz="4" w:space="0"/>
        <w:bottom w:val="single" w:color="000000" w:themeColor="text1" w:sz="4" w:space="0"/>
        <w:right w:val="none" w:color="000000" w:sz="4" w:space="0"/>
      </w:tblBorders>
      <w:tblCellMar>
        <w:left w:w="108" w:type="dxa"/>
        <w:top w:w="0" w:type="dxa"/>
        <w:right w:w="108" w:type="dxa"/>
        <w:bottom w:w="0" w:type="dxa"/>
      </w:tblCellMar>
    </w:tblPr>
  </w:style>
  <w:style w:type="table" w:customStyle="1" w:styleId="887">
    <w:name w:val="List Table 3 - Accent 6"/>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left w:w="0" w:type="dxa"/>
        <w:top w:w="0" w:type="dxa"/>
        <w:right w:w="0" w:type="dxa"/>
        <w:bottom w:w="0" w:type="dxa"/>
      </w:tblCellMar>
    </w:tblPr>
  </w:style>
  <w:style w:type="table" w:customStyle="1" w:styleId="888">
    <w:name w:val="Bordered &amp; Lined - Accent 2"/>
    <w:tblPr>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CellMar>
        <w:left w:w="0" w:type="dxa"/>
        <w:top w:w="0" w:type="dxa"/>
        <w:right w:w="0" w:type="dxa"/>
        <w:bottom w:w="0" w:type="dxa"/>
      </w:tblCellMar>
    </w:tblPr>
  </w:style>
  <w:style w:type="table" w:customStyle="1" w:styleId="889">
    <w:name w:val="Bordered &amp; Lined - Accent"/>
    <w:tblPr>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style>
  <w:style w:type="table" w:customStyle="1" w:styleId="890">
    <w:name w:val="Bordered &amp; Lined - Accent 4"/>
    <w:tblPr>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CellMar>
        <w:left w:w="0" w:type="dxa"/>
        <w:top w:w="0" w:type="dxa"/>
        <w:right w:w="0" w:type="dxa"/>
        <w:bottom w:w="0" w:type="dxa"/>
      </w:tblCellMar>
    </w:tblPr>
  </w:style>
  <w:style w:type="table" w:styleId="891">
    <w:name w:val="Grid Table 6 Colorful"/>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style>
  <w:style w:type="table" w:customStyle="1" w:styleId="892">
    <w:name w:val="Grid Table 6 Colorful - Accent 2"/>
    <w:tblPr>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style>
  <w:style w:type="table" w:customStyle="1" w:styleId="893">
    <w:name w:val="List Table 5 Dark - Accent 6"/>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left w:w="0" w:type="dxa"/>
        <w:top w:w="0" w:type="dxa"/>
        <w:right w:w="0" w:type="dxa"/>
        <w:bottom w:w="0" w:type="dxa"/>
      </w:tblCellMar>
    </w:tblPr>
  </w:style>
  <w:style w:type="table" w:styleId="894">
    <w:name w:val="Plain Table 1"/>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customStyle="1" w:styleId="895">
    <w:name w:val="List Table 6 Colorful - Accent 3"/>
    <w:tblPr>
      <w:tblBorders>
        <w:top w:val="single" w:color="C9C9C9" w:themeColor="accent3" w:themeTint="98" w:sz="4" w:space="0"/>
        <w:bottom w:val="single" w:color="C9C9C9" w:themeColor="accent3" w:themeTint="98" w:sz="4" w:space="0"/>
      </w:tblBorders>
      <w:tblCellMar>
        <w:left w:w="0" w:type="dxa"/>
        <w:top w:w="0" w:type="dxa"/>
        <w:right w:w="0" w:type="dxa"/>
        <w:bottom w:w="0" w:type="dxa"/>
      </w:tblCellMar>
    </w:tblPr>
  </w:style>
  <w:style w:type="table" w:customStyle="1" w:styleId="896">
    <w:name w:val="Bordered"/>
    <w:tblPr>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style>
  <w:style w:type="table" w:customStyle="1" w:styleId="897">
    <w:name w:val="List Table 3 - Accent 3"/>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left w:w="0" w:type="dxa"/>
        <w:top w:w="0" w:type="dxa"/>
        <w:right w:w="0" w:type="dxa"/>
        <w:bottom w:w="0" w:type="dxa"/>
      </w:tblCellMar>
    </w:tblPr>
  </w:style>
  <w:style w:type="table" w:customStyle="1" w:styleId="898">
    <w:name w:val="List Table 2 - Accent 3"/>
    <w:tblPr>
      <w:tblBorders>
        <w:top w:val="single" w:color="CCCCCC" w:themeColor="accent3" w:themeTint="90" w:sz="4" w:space="0"/>
        <w:bottom w:val="single" w:color="CCCCCC" w:themeColor="accent3" w:themeTint="90" w:sz="4" w:space="0"/>
        <w:insideH w:val="single" w:color="CCCCCC" w:themeColor="accent3" w:themeTint="90" w:sz="4" w:space="0"/>
      </w:tblBorders>
      <w:tblCellMar>
        <w:left w:w="0" w:type="dxa"/>
        <w:top w:w="0" w:type="dxa"/>
        <w:right w:w="0" w:type="dxa"/>
        <w:bottom w:w="0" w:type="dxa"/>
      </w:tblCellMar>
    </w:tblPr>
  </w:style>
  <w:style w:type="table" w:customStyle="1" w:styleId="899">
    <w:name w:val="List Table 3 - Accent 1"/>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left w:w="0" w:type="dxa"/>
        <w:top w:w="0" w:type="dxa"/>
        <w:right w:w="0" w:type="dxa"/>
        <w:bottom w:w="0" w:type="dxa"/>
      </w:tblCellMar>
    </w:tblPr>
  </w:style>
  <w:style w:type="table" w:customStyle="1" w:styleId="900">
    <w:name w:val="List Table 6 Colorful - Accent 6"/>
    <w:tblPr>
      <w:tblBorders>
        <w:top w:val="single" w:color="A9D08E" w:themeColor="accent6" w:themeTint="98" w:sz="4" w:space="0"/>
        <w:bottom w:val="single" w:color="A9D08E" w:themeColor="accent6" w:themeTint="98" w:sz="4" w:space="0"/>
      </w:tblBorders>
      <w:tblCellMar>
        <w:left w:w="0" w:type="dxa"/>
        <w:top w:w="0" w:type="dxa"/>
        <w:right w:w="0" w:type="dxa"/>
        <w:bottom w:w="0" w:type="dxa"/>
      </w:tblCellMar>
    </w:tblPr>
  </w:style>
  <w:style w:type="table" w:customStyle="1" w:styleId="901">
    <w:name w:val="List Table 4 - Accent 6"/>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left w:w="0" w:type="dxa"/>
        <w:top w:w="0" w:type="dxa"/>
        <w:right w:w="0" w:type="dxa"/>
        <w:bottom w:w="0" w:type="dxa"/>
      </w:tblCellMar>
    </w:tblPr>
  </w:style>
  <w:style w:type="table" w:styleId="902">
    <w:name w:val="Grid Table 1 Light"/>
    <w:tblPr>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style>
  <w:style w:type="table" w:customStyle="1" w:styleId="903">
    <w:name w:val="List Table 7 Colorful - Accent 1"/>
    <w:tblPr>
      <w:tblBorders>
        <w:right w:val="single" w:color="5B9BD5" w:themeColor="accent1" w:sz="4" w:space="0"/>
      </w:tblBorders>
      <w:tblCellMar>
        <w:left w:w="0" w:type="dxa"/>
        <w:top w:w="0" w:type="dxa"/>
        <w:right w:w="0" w:type="dxa"/>
        <w:bottom w:w="0" w:type="dxa"/>
      </w:tblCellMar>
    </w:tblPr>
  </w:style>
  <w:style w:type="table" w:customStyle="1" w:styleId="904">
    <w:name w:val="Grid Table 6 Colorful - Accent 6"/>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style>
  <w:style w:type="table" w:styleId="905">
    <w:name w:val="Table Grid"/>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customStyle="1" w:styleId="906">
    <w:name w:val="Grid Table 3 - Accent 1"/>
    <w:tblPr>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style>
  <w:style w:type="table" w:customStyle="1" w:styleId="907">
    <w:name w:val="Bordered &amp; Lined - Accent 5"/>
    <w:tblPr>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CellMar>
        <w:left w:w="0" w:type="dxa"/>
        <w:top w:w="0" w:type="dxa"/>
        <w:right w:w="0" w:type="dxa"/>
        <w:bottom w:w="0" w:type="dxa"/>
      </w:tblCellMar>
    </w:tblPr>
  </w:style>
  <w:style w:type="table" w:customStyle="1" w:styleId="908">
    <w:name w:val="List Table 6 Colorful - Accent 4"/>
    <w:tblPr>
      <w:tblBorders>
        <w:top w:val="single" w:color="FFD865" w:themeColor="accent4" w:themeTint="9a" w:sz="4" w:space="0"/>
        <w:bottom w:val="single" w:color="FFD865" w:themeColor="accent4" w:themeTint="9a" w:sz="4" w:space="0"/>
      </w:tblBorders>
      <w:tblCellMar>
        <w:left w:w="0" w:type="dxa"/>
        <w:top w:w="0" w:type="dxa"/>
        <w:right w:w="0" w:type="dxa"/>
        <w:bottom w:w="0" w:type="dxa"/>
      </w:tblCellMar>
    </w:tblPr>
  </w:style>
  <w:style w:type="table" w:styleId="909">
    <w:name w:val="Plain Table 3"/>
    <w:tblPr>
      <w:tblCellMar>
        <w:left w:w="0" w:type="dxa"/>
        <w:top w:w="0" w:type="dxa"/>
        <w:right w:w="0" w:type="dxa"/>
        <w:bottom w:w="0" w:type="dxa"/>
      </w:tblCellMar>
    </w:tblPr>
  </w:style>
  <w:style w:type="table" w:customStyle="1" w:styleId="910">
    <w:name w:val="Grid Table 4 - Accent 5"/>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style>
  <w:style w:type="table" w:customStyle="1" w:styleId="911">
    <w:name w:val="Grid Table 1 Light - Accent 1"/>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style>
  <w:style w:type="table" w:styleId="912">
    <w:name w:val="Grid Table 3"/>
    <w:tblPr>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style>
  <w:style w:type="table" w:customStyle="1" w:styleId="913">
    <w:name w:val="Grid Table 4 - Accent 3"/>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left w:w="0" w:type="dxa"/>
        <w:top w:w="0" w:type="dxa"/>
        <w:right w:w="0" w:type="dxa"/>
        <w:bottom w:w="0" w:type="dxa"/>
      </w:tblCellMar>
    </w:tblPr>
  </w:style>
  <w:style w:type="table" w:customStyle="1" w:styleId="914">
    <w:name w:val="Bordered - Accent 2"/>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style>
  <w:style w:type="table" w:customStyle="1" w:styleId="915">
    <w:name w:val="List Table 4 - Accent 2"/>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left w:w="0" w:type="dxa"/>
        <w:top w:w="0" w:type="dxa"/>
        <w:right w:w="0" w:type="dxa"/>
        <w:bottom w:w="0" w:type="dxa"/>
      </w:tblCellMar>
    </w:tblPr>
  </w:style>
  <w:style w:type="table" w:customStyle="1" w:styleId="916">
    <w:name w:val="Bordered - Accent 5"/>
    <w:tblPr>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style>
  <w:style w:type="table" w:customStyle="1" w:styleId="917">
    <w:name w:val="List Table 3 - Accent 5"/>
    <w:tblPr>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CellMar>
        <w:left w:w="0" w:type="dxa"/>
        <w:top w:w="0" w:type="dxa"/>
        <w:right w:w="0" w:type="dxa"/>
        <w:bottom w:w="0" w:type="dxa"/>
      </w:tblCellMar>
    </w:tblPr>
  </w:style>
  <w:style w:type="table" w:customStyle="1" w:styleId="918">
    <w:name w:val="Bordered - Accent 1"/>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style>
  <w:style w:type="table" w:customStyle="1" w:styleId="919">
    <w:name w:val="List Table 5 Dark - Accent 3"/>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left w:w="0" w:type="dxa"/>
        <w:top w:w="0" w:type="dxa"/>
        <w:right w:w="0" w:type="dxa"/>
        <w:bottom w:w="0" w:type="dxa"/>
      </w:tblCellMar>
    </w:tblPr>
  </w:style>
  <w:style w:type="table" w:customStyle="1" w:styleId="920">
    <w:name w:val="Grid Table 3 - Accent 3"/>
    <w:tblPr>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style>
  <w:style w:type="table" w:customStyle="1" w:styleId="921">
    <w:name w:val="Lined - Accent 3"/>
    <w:tblPr>
      <w:tblCellMar>
        <w:left w:w="0" w:type="dxa"/>
        <w:top w:w="0" w:type="dxa"/>
        <w:right w:w="0" w:type="dxa"/>
        <w:bottom w:w="0" w:type="dxa"/>
      </w:tblCellMar>
    </w:tblPr>
  </w:style>
  <w:style w:type="table" w:customStyle="1" w:styleId="922">
    <w:name w:val="List Table 4 - Accent 4"/>
    <w:tblPr>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CellMar>
        <w:left w:w="0" w:type="dxa"/>
        <w:top w:w="0" w:type="dxa"/>
        <w:right w:w="0" w:type="dxa"/>
        <w:bottom w:w="0" w:type="dxa"/>
      </w:tblCellMar>
    </w:tblPr>
  </w:style>
  <w:style w:type="table" w:customStyle="1" w:styleId="923">
    <w:name w:val="Grid Table 4 - Accent 4"/>
    <w:tblPr>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CellMar>
        <w:left w:w="0" w:type="dxa"/>
        <w:top w:w="0" w:type="dxa"/>
        <w:right w:w="0" w:type="dxa"/>
        <w:bottom w:w="0" w:type="dxa"/>
      </w:tblCellMar>
    </w:tblPr>
  </w:style>
  <w:style w:type="table" w:styleId="924">
    <w:name w:val="List Table 5 Dark"/>
    <w:tblPr>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0" w:type="dxa"/>
        <w:top w:w="0" w:type="dxa"/>
        <w:right w:w="0" w:type="dxa"/>
        <w:bottom w:w="0" w:type="dxa"/>
      </w:tblCellMar>
    </w:tblPr>
  </w:style>
  <w:style w:type="table" w:styleId="925">
    <w:name w:val="List Table 2"/>
    <w:tblPr>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style>
  <w:style w:type="table" w:styleId="926">
    <w:name w:val="Grid Table 5 Dark"/>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927">
    <w:name w:val="Bordered &amp; Lined - Accent 1"/>
    <w:tblPr>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CellMar>
        <w:left w:w="0" w:type="dxa"/>
        <w:top w:w="0" w:type="dxa"/>
        <w:right w:w="0" w:type="dxa"/>
        <w:bottom w:w="0" w:type="dxa"/>
      </w:tblCellMar>
    </w:tblPr>
  </w:style>
  <w:style w:type="table" w:customStyle="1" w:styleId="928">
    <w:name w:val="List Table 5 Dark - Accent 2"/>
    <w:tblPr>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CellMar>
        <w:left w:w="0" w:type="dxa"/>
        <w:top w:w="0" w:type="dxa"/>
        <w:right w:w="0" w:type="dxa"/>
        <w:bottom w:w="0" w:type="dxa"/>
      </w:tblCellMar>
    </w:tblPr>
  </w:style>
  <w:style w:type="table" w:customStyle="1" w:styleId="929">
    <w:name w:val="Grid Table 1 Light - Accent 6"/>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style>
  <w:style w:type="table" w:customStyle="1" w:styleId="930">
    <w:name w:val="Grid Table 7 Colorful - Accent 2"/>
    <w:tblPr>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style>
  <w:style w:type="table" w:customStyle="1" w:styleId="931">
    <w:name w:val="Grid Table 5 Dark - Accent 3"/>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932">
    <w:name w:val="List Table 2 - Accent 6"/>
    <w:tblPr>
      <w:tblBorders>
        <w:top w:val="single" w:color="ADD394" w:themeColor="accent6" w:themeTint="90" w:sz="4" w:space="0"/>
        <w:bottom w:val="single" w:color="ADD394" w:themeColor="accent6" w:themeTint="90" w:sz="4" w:space="0"/>
        <w:insideH w:val="single" w:color="ADD394" w:themeColor="accent6" w:themeTint="90" w:sz="4" w:space="0"/>
      </w:tblBorders>
      <w:tblCellMar>
        <w:left w:w="0" w:type="dxa"/>
        <w:top w:w="0" w:type="dxa"/>
        <w:right w:w="0" w:type="dxa"/>
        <w:bottom w:w="0" w:type="dxa"/>
      </w:tblCellMar>
    </w:tblPr>
  </w:style>
  <w:style w:type="table" w:customStyle="1" w:styleId="933">
    <w:name w:val="Grid Table 5 Dark - Accent 2"/>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934">
    <w:name w:val="List Table 1 Light - Accent 5"/>
    <w:tblPr>
      <w:tblCellMar>
        <w:left w:w="0" w:type="dxa"/>
        <w:top w:w="0" w:type="dxa"/>
        <w:right w:w="0" w:type="dxa"/>
        <w:bottom w:w="0" w:type="dxa"/>
      </w:tblCellMar>
    </w:tblPr>
  </w:style>
  <w:style w:type="table" w:customStyle="1" w:styleId="935">
    <w:name w:val="Grid Table 2 - Accent 3"/>
    <w:tblPr>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style>
  <w:style w:type="table" w:customStyle="1" w:styleId="936">
    <w:name w:val="Grid Table 6 Colorful - Accent 4"/>
    <w:tblPr>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style>
  <w:style w:type="table" w:customStyle="1" w:styleId="937">
    <w:name w:val="Grid Table 6 Colorful - Accent 1"/>
    <w:tblPr>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style>
  <w:style w:type="table" w:customStyle="1" w:styleId="938">
    <w:name w:val="Bordered &amp; Lined - Accent 6"/>
    <w:tblPr>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CellMar>
        <w:left w:w="0" w:type="dxa"/>
        <w:top w:w="0" w:type="dxa"/>
        <w:right w:w="0" w:type="dxa"/>
        <w:bottom w:w="0" w:type="dxa"/>
      </w:tblCellMar>
    </w:tblPr>
  </w:style>
  <w:style w:type="table" w:styleId="939">
    <w:name w:val="List Table 3"/>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style>
  <w:style w:type="table" w:customStyle="1" w:styleId="940">
    <w:name w:val="Grid Table 7 Colorful - Accent 4"/>
    <w:tblPr>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style>
  <w:style w:type="table" w:styleId="941">
    <w:name w:val="List Table 6 Colorful"/>
    <w:tblPr>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style>
  <w:style w:type="table" w:customStyle="1" w:styleId="942">
    <w:name w:val="List Table 1 Light - Accent 2"/>
    <w:tblPr>
      <w:tblCellMar>
        <w:left w:w="0" w:type="dxa"/>
        <w:top w:w="0" w:type="dxa"/>
        <w:right w:w="0" w:type="dxa"/>
        <w:bottom w:w="0" w:type="dxa"/>
      </w:tblCellMar>
    </w:tblPr>
  </w:style>
  <w:style w:type="table" w:customStyle="1" w:styleId="943">
    <w:name w:val="Grid Table 1 Light - Accent 3"/>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style>
  <w:style w:type="table" w:customStyle="1" w:styleId="944">
    <w:name w:val="Grid Table 3 - Accent 5"/>
    <w:tblPr>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style>
  <w:style w:type="table" w:styleId="945">
    <w:name w:val="List Table 7 Colorful"/>
    <w:tblPr>
      <w:tblBorders>
        <w:right w:val="single" w:color="7F7F7F" w:themeColor="text1" w:themeTint="80" w:sz="4" w:space="0"/>
      </w:tblBorders>
      <w:tblCellMar>
        <w:left w:w="0" w:type="dxa"/>
        <w:top w:w="0" w:type="dxa"/>
        <w:right w:w="0" w:type="dxa"/>
        <w:bottom w:w="0" w:type="dxa"/>
      </w:tblCellMar>
    </w:tblPr>
  </w:style>
  <w:style w:type="table" w:customStyle="1" w:styleId="946">
    <w:name w:val="List Table 5 Dark - Accent 4"/>
    <w:tblPr>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CellMar>
        <w:left w:w="0" w:type="dxa"/>
        <w:top w:w="0" w:type="dxa"/>
        <w:right w:w="0" w:type="dxa"/>
        <w:bottom w:w="0" w:type="dxa"/>
      </w:tblCellMar>
    </w:tblPr>
  </w:style>
  <w:style w:type="table" w:customStyle="1" w:styleId="947">
    <w:name w:val="Lined - Accent 1"/>
    <w:tblPr>
      <w:tblCellMar>
        <w:left w:w="0" w:type="dxa"/>
        <w:top w:w="0" w:type="dxa"/>
        <w:right w:w="0" w:type="dxa"/>
        <w:bottom w:w="0" w:type="dxa"/>
      </w:tblCellMar>
    </w:tblPr>
  </w:style>
  <w:style w:type="table" w:customStyle="1" w:styleId="948">
    <w:name w:val="List Table 1 Light - Accent 1"/>
    <w:tblPr>
      <w:tblCellMar>
        <w:left w:w="0" w:type="dxa"/>
        <w:top w:w="0" w:type="dxa"/>
        <w:right w:w="0" w:type="dxa"/>
        <w:bottom w:w="0" w:type="dxa"/>
      </w:tblCellMar>
    </w:tblPr>
  </w:style>
  <w:style w:type="table" w:styleId="949">
    <w:name w:val="List Table 4"/>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style>
  <w:style w:type="table" w:customStyle="1" w:styleId="950">
    <w:name w:val="List Table 6 Colorful - Accent 5"/>
    <w:tblPr>
      <w:tblBorders>
        <w:top w:val="single" w:color="8DA9DB" w:themeColor="accent5" w:themeTint="9a" w:sz="4" w:space="0"/>
        <w:bottom w:val="single" w:color="8DA9DB" w:themeColor="accent5" w:themeTint="9a" w:sz="4" w:space="0"/>
      </w:tblBorders>
      <w:tblCellMar>
        <w:left w:w="0" w:type="dxa"/>
        <w:top w:w="0" w:type="dxa"/>
        <w:right w:w="0" w:type="dxa"/>
        <w:bottom w:w="0" w:type="dxa"/>
      </w:tblCellMar>
    </w:tblPr>
  </w:style>
  <w:style w:type="table" w:styleId="951">
    <w:name w:val="Grid Table 7 Colorful"/>
    <w:tblPr>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style>
  <w:style w:type="table" w:customStyle="1" w:styleId="952">
    <w:name w:val="List Table 7 Colorful - Accent 4"/>
    <w:tblPr>
      <w:tblBorders>
        <w:right w:val="single" w:color="FFD865" w:themeColor="accent4" w:themeTint="9a" w:sz="4" w:space="0"/>
      </w:tblBorders>
      <w:tblCellMar>
        <w:left w:w="0" w:type="dxa"/>
        <w:top w:w="0" w:type="dxa"/>
        <w:right w:w="0" w:type="dxa"/>
        <w:bottom w:w="0" w:type="dxa"/>
      </w:tblCellMar>
    </w:tblPr>
  </w:style>
  <w:style w:type="table" w:customStyle="1" w:styleId="953">
    <w:name w:val="Lined - Accent 4"/>
    <w:tblPr>
      <w:tblCellMar>
        <w:left w:w="0" w:type="dxa"/>
        <w:top w:w="0" w:type="dxa"/>
        <w:right w:w="0" w:type="dxa"/>
        <w:bottom w:w="0" w:type="dxa"/>
      </w:tblCellMar>
    </w:tblPr>
  </w:style>
  <w:style w:type="table" w:customStyle="1" w:styleId="954">
    <w:name w:val="Grid Table 5 Dark- Accent 4"/>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style>
  <w:style w:type="table" w:customStyle="1" w:styleId="955">
    <w:name w:val="Table Grid Light"/>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customStyle="1" w:styleId="956">
    <w:name w:val="Lined - Accent 5"/>
    <w:tblPr>
      <w:tblCellMar>
        <w:left w:w="0" w:type="dxa"/>
        <w:top w:w="0" w:type="dxa"/>
        <w:right w:w="0" w:type="dxa"/>
        <w:bottom w:w="0" w:type="dxa"/>
      </w:tblCellMar>
    </w:tblPr>
  </w:style>
  <w:style w:type="table" w:customStyle="1" w:styleId="957">
    <w:name w:val="Grid Table 2 - Accent 1"/>
    <w:tblPr>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style>
  <w:style w:type="table" w:customStyle="1" w:styleId="958">
    <w:name w:val="List Table 2 - Accent 2"/>
    <w:tblPr>
      <w:tblBorders>
        <w:top w:val="single" w:color="F4B58A" w:themeColor="accent2" w:themeTint="90" w:sz="4" w:space="0"/>
        <w:bottom w:val="single" w:color="F4B58A" w:themeColor="accent2" w:themeTint="90" w:sz="4" w:space="0"/>
        <w:insideH w:val="single" w:color="F4B58A" w:themeColor="accent2" w:themeTint="90" w:sz="4" w:space="0"/>
      </w:tblBorders>
      <w:tblCellMar>
        <w:left w:w="0" w:type="dxa"/>
        <w:top w:w="0" w:type="dxa"/>
        <w:right w:w="0" w:type="dxa"/>
        <w:bottom w:w="0" w:type="dxa"/>
      </w:tblCellMar>
    </w:tblPr>
  </w:style>
  <w:style w:type="table" w:customStyle="1" w:styleId="959">
    <w:name w:val="List Table 3 - Accent 4"/>
    <w:tblPr>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CellMar>
        <w:left w:w="0" w:type="dxa"/>
        <w:top w:w="0" w:type="dxa"/>
        <w:right w:w="0" w:type="dxa"/>
        <w:bottom w:w="0" w:type="dxa"/>
      </w:tblCellMar>
    </w:tblPr>
  </w:style>
  <w:style w:type="table" w:customStyle="1" w:styleId="960">
    <w:name w:val="List Table 2 - Accent 5"/>
    <w:tblPr>
      <w:tblBorders>
        <w:top w:val="single" w:color="95AFDD" w:themeColor="accent5" w:themeTint="90" w:sz="4" w:space="0"/>
        <w:bottom w:val="single" w:color="95AFDD" w:themeColor="accent5" w:themeTint="90" w:sz="4" w:space="0"/>
        <w:insideH w:val="single" w:color="95AFDD" w:themeColor="accent5" w:themeTint="90" w:sz="4" w:space="0"/>
      </w:tblBorders>
      <w:tblCellMar>
        <w:left w:w="0" w:type="dxa"/>
        <w:top w:w="0" w:type="dxa"/>
        <w:right w:w="0" w:type="dxa"/>
        <w:bottom w:w="0" w:type="dxa"/>
      </w:tblCellMar>
    </w:tblPr>
  </w:style>
  <w:style w:type="table" w:customStyle="1" w:styleId="961">
    <w:name w:val="List Table 6 Colorful - Accent 1"/>
    <w:tblPr>
      <w:tblBorders>
        <w:top w:val="single" w:color="5B9BD5" w:themeColor="accent1" w:sz="4" w:space="0"/>
        <w:bottom w:val="single" w:color="5B9BD5" w:themeColor="accent1" w:sz="4" w:space="0"/>
      </w:tblBorders>
      <w:tblCellMar>
        <w:left w:w="0" w:type="dxa"/>
        <w:top w:w="0" w:type="dxa"/>
        <w:right w:w="0" w:type="dxa"/>
        <w:bottom w:w="0" w:type="dxa"/>
      </w:tblCellMar>
    </w:tblPr>
  </w:style>
  <w:style w:type="table" w:customStyle="1" w:styleId="962">
    <w:name w:val="List Table 5 Dark - Accent 5"/>
    <w:tblPr>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CellMar>
        <w:left w:w="0" w:type="dxa"/>
        <w:top w:w="0" w:type="dxa"/>
        <w:right w:w="0" w:type="dxa"/>
        <w:bottom w:w="0" w:type="dxa"/>
      </w:tblCellMar>
    </w:tblPr>
  </w:style>
  <w:style w:type="table" w:customStyle="1" w:styleId="963">
    <w:name w:val="Grid Table 1 Light - Accent 5"/>
    <w:tblPr>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style>
  <w:style w:type="table" w:customStyle="1" w:styleId="964">
    <w:name w:val="Grid Table 1 Light - Accent 2"/>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style>
  <w:style w:type="table" w:customStyle="1" w:styleId="965">
    <w:name w:val="List Table 1 Light - Accent 6"/>
    <w:tblPr>
      <w:tblCellMar>
        <w:left w:w="0" w:type="dxa"/>
        <w:top w:w="0" w:type="dxa"/>
        <w:right w:w="0"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login.consultant.ru/link/?req=doc&amp;base=LAW&amp;n=538619&amp;date=10.08.2026"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LibreOffice/7.6.7.2$Linux_X86_64 LibreOffice_project/60$Build-2</Application>
  <AppVersion>15.0000</AppVersion>
  <Pages>25</Pages>
  <Words>6210</Words>
  <Characters>47668</Characters>
  <CharactersWithSpaces>53620</CharactersWithSpaces>
  <Paragraphs>313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2025-07-20T23:45:00Z</dcterms:created>
  <dc:creator/>
  <dc:description/>
  <dc:language>ru-RU</dc:language>
  <cp:lastModifiedBy/>
  <dcterms:modified xsi:type="dcterms:W3CDTF">2026-08-26T02:21:51Z</dcterms:modified>
  <cp:revision>25</cp:revision>
  <dc:subject/>
  <dc:title/>
</cp:coreProperties>
</file>